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3" w:rsidRDefault="00DD07E3" w:rsidP="00DD07E3">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MARGRETHE</w:t>
          </w:r>
        </w:smartTag>
      </w:smartTag>
      <w:r>
        <w:t xml:space="preserve"> PROPERTY OWNERS ASSOCIATION</w:t>
      </w:r>
    </w:p>
    <w:p w:rsidR="00DD07E3" w:rsidRDefault="000B6749" w:rsidP="003C16D9">
      <w:pPr>
        <w:jc w:val="center"/>
        <w:rPr>
          <w:b/>
        </w:rPr>
      </w:pPr>
      <w:r>
        <w:rPr>
          <w:b/>
        </w:rPr>
        <w:t>Membership</w:t>
      </w:r>
      <w:r w:rsidR="00DD07E3">
        <w:rPr>
          <w:b/>
        </w:rPr>
        <w:t xml:space="preserve"> MEETING</w:t>
      </w:r>
      <w:r w:rsidR="00506E38">
        <w:rPr>
          <w:b/>
        </w:rPr>
        <w:t xml:space="preserve"> </w:t>
      </w:r>
      <w:r w:rsidR="000F3E5C">
        <w:rPr>
          <w:b/>
        </w:rPr>
        <w:t>October 9</w:t>
      </w:r>
      <w:r w:rsidR="004B61C8">
        <w:rPr>
          <w:b/>
        </w:rPr>
        <w:t>, 2010</w:t>
      </w:r>
    </w:p>
    <w:p w:rsidR="00DD07E3" w:rsidRPr="00EF5935" w:rsidRDefault="000B6749" w:rsidP="00EF5935">
      <w:pPr>
        <w:jc w:val="center"/>
        <w:rPr>
          <w:b/>
        </w:rPr>
      </w:pPr>
      <w:r>
        <w:rPr>
          <w:b/>
        </w:rPr>
        <w:t>9</w:t>
      </w:r>
      <w:r w:rsidR="00DD07E3">
        <w:rPr>
          <w:b/>
        </w:rPr>
        <w:t>:00 A.M. – GRAYLING TOWNSHIP HALL</w:t>
      </w:r>
    </w:p>
    <w:p w:rsidR="000F3E5C" w:rsidRPr="004B61C8" w:rsidRDefault="000F3E5C" w:rsidP="000F3E5C">
      <w:pPr>
        <w:rPr>
          <w:rFonts w:ascii="Arial" w:hAnsi="Arial" w:cs="Arial"/>
        </w:rPr>
      </w:pPr>
      <w:r w:rsidRPr="004B61C8">
        <w:rPr>
          <w:rFonts w:ascii="Arial" w:hAnsi="Arial" w:cs="Arial"/>
          <w:u w:val="single"/>
        </w:rPr>
        <w:t>Directors in attendance:</w:t>
      </w:r>
      <w:r w:rsidRPr="004B61C8">
        <w:rPr>
          <w:rFonts w:ascii="Arial" w:hAnsi="Arial" w:cs="Arial"/>
        </w:rPr>
        <w:t xml:space="preserve">  </w:t>
      </w:r>
      <w:r>
        <w:rPr>
          <w:rFonts w:ascii="Arial" w:hAnsi="Arial" w:cs="Arial"/>
        </w:rPr>
        <w:t>Joe Porter, Chuck Spencer,</w:t>
      </w:r>
      <w:r w:rsidRPr="001329E9">
        <w:rPr>
          <w:rFonts w:ascii="Arial" w:hAnsi="Arial" w:cs="Arial"/>
        </w:rPr>
        <w:t xml:space="preserve"> </w:t>
      </w:r>
      <w:r w:rsidRPr="004B61C8">
        <w:rPr>
          <w:rFonts w:ascii="Arial" w:hAnsi="Arial" w:cs="Arial"/>
        </w:rPr>
        <w:t xml:space="preserve">Charlotte </w:t>
      </w:r>
      <w:proofErr w:type="spellStart"/>
      <w:r w:rsidRPr="004B61C8">
        <w:rPr>
          <w:rFonts w:ascii="Arial" w:hAnsi="Arial" w:cs="Arial"/>
        </w:rPr>
        <w:t>Bloomquist</w:t>
      </w:r>
      <w:proofErr w:type="spellEnd"/>
      <w:r w:rsidRPr="004B61C8">
        <w:rPr>
          <w:rFonts w:ascii="Arial" w:hAnsi="Arial" w:cs="Arial"/>
        </w:rPr>
        <w:t xml:space="preserve">, </w:t>
      </w:r>
      <w:proofErr w:type="spellStart"/>
      <w:r w:rsidRPr="004B61C8">
        <w:rPr>
          <w:rFonts w:ascii="Arial" w:hAnsi="Arial" w:cs="Arial"/>
        </w:rPr>
        <w:t>Morrie</w:t>
      </w:r>
      <w:proofErr w:type="spellEnd"/>
      <w:r w:rsidRPr="004B61C8">
        <w:rPr>
          <w:rFonts w:ascii="Arial" w:hAnsi="Arial" w:cs="Arial"/>
        </w:rPr>
        <w:t xml:space="preserve"> Stevens,</w:t>
      </w:r>
      <w:r>
        <w:rPr>
          <w:rFonts w:ascii="Arial" w:hAnsi="Arial" w:cs="Arial"/>
        </w:rPr>
        <w:t xml:space="preserve"> Harry </w:t>
      </w:r>
      <w:proofErr w:type="spellStart"/>
      <w:r>
        <w:rPr>
          <w:rFonts w:ascii="Arial" w:hAnsi="Arial" w:cs="Arial"/>
        </w:rPr>
        <w:t>Wojcik</w:t>
      </w:r>
      <w:proofErr w:type="spellEnd"/>
      <w:r>
        <w:rPr>
          <w:rFonts w:ascii="Arial" w:hAnsi="Arial" w:cs="Arial"/>
        </w:rPr>
        <w:t xml:space="preserve">, </w:t>
      </w:r>
      <w:r w:rsidR="00BC750B">
        <w:rPr>
          <w:rFonts w:ascii="Arial" w:hAnsi="Arial" w:cs="Arial"/>
        </w:rPr>
        <w:t xml:space="preserve">RJ </w:t>
      </w:r>
      <w:proofErr w:type="spellStart"/>
      <w:r w:rsidR="00BC750B">
        <w:rPr>
          <w:rFonts w:ascii="Arial" w:hAnsi="Arial" w:cs="Arial"/>
        </w:rPr>
        <w:t>Hannan</w:t>
      </w:r>
      <w:proofErr w:type="spellEnd"/>
      <w:r w:rsidR="00BC750B">
        <w:rPr>
          <w:rFonts w:ascii="Arial" w:hAnsi="Arial" w:cs="Arial"/>
        </w:rPr>
        <w:t xml:space="preserve">, </w:t>
      </w:r>
      <w:r w:rsidRPr="004B61C8">
        <w:rPr>
          <w:rFonts w:ascii="Arial" w:hAnsi="Arial" w:cs="Arial"/>
        </w:rPr>
        <w:t xml:space="preserve">and Marshall Roe  </w:t>
      </w:r>
    </w:p>
    <w:p w:rsidR="000F3E5C" w:rsidRPr="004B61C8" w:rsidRDefault="000F3E5C" w:rsidP="000F3E5C">
      <w:pPr>
        <w:spacing w:after="120"/>
        <w:rPr>
          <w:rFonts w:ascii="Arial" w:hAnsi="Arial" w:cs="Arial"/>
        </w:rPr>
      </w:pPr>
      <w:r w:rsidRPr="004B61C8">
        <w:rPr>
          <w:rFonts w:ascii="Arial" w:hAnsi="Arial" w:cs="Arial"/>
        </w:rPr>
        <w:t>Director</w:t>
      </w:r>
      <w:r>
        <w:rPr>
          <w:rFonts w:ascii="Arial" w:hAnsi="Arial" w:cs="Arial"/>
        </w:rPr>
        <w:t>s</w:t>
      </w:r>
      <w:r w:rsidRPr="004B61C8">
        <w:rPr>
          <w:rFonts w:ascii="Arial" w:hAnsi="Arial" w:cs="Arial"/>
        </w:rPr>
        <w:t xml:space="preserve"> not in attendance:  Ron Herron</w:t>
      </w:r>
      <w:r>
        <w:rPr>
          <w:rFonts w:ascii="Arial" w:hAnsi="Arial" w:cs="Arial"/>
        </w:rPr>
        <w:t>, and Doug Dodge</w:t>
      </w:r>
    </w:p>
    <w:p w:rsidR="000F3E5C" w:rsidRDefault="000F3E5C" w:rsidP="000F3E5C">
      <w:pPr>
        <w:spacing w:after="120"/>
        <w:rPr>
          <w:rFonts w:ascii="Arial" w:hAnsi="Arial" w:cs="Arial"/>
          <w:bCs/>
        </w:rPr>
      </w:pPr>
      <w:r w:rsidRPr="004B61C8">
        <w:rPr>
          <w:rFonts w:ascii="Arial" w:hAnsi="Arial" w:cs="Arial"/>
          <w:bCs/>
        </w:rPr>
        <w:t xml:space="preserve">Meeting called to Order </w:t>
      </w:r>
      <w:r>
        <w:rPr>
          <w:rFonts w:ascii="Arial" w:hAnsi="Arial" w:cs="Arial"/>
          <w:bCs/>
        </w:rPr>
        <w:t>at</w:t>
      </w:r>
      <w:r w:rsidRPr="004B61C8">
        <w:rPr>
          <w:rFonts w:ascii="Arial" w:hAnsi="Arial" w:cs="Arial"/>
          <w:bCs/>
        </w:rPr>
        <w:t xml:space="preserve"> </w:t>
      </w:r>
      <w:r w:rsidR="00506E38">
        <w:rPr>
          <w:rFonts w:ascii="Arial" w:hAnsi="Arial" w:cs="Arial"/>
          <w:bCs/>
        </w:rPr>
        <w:t>9</w:t>
      </w:r>
      <w:r>
        <w:rPr>
          <w:rFonts w:ascii="Arial" w:hAnsi="Arial" w:cs="Arial"/>
          <w:bCs/>
        </w:rPr>
        <w:t>:00 a.m. by President Porter.</w:t>
      </w:r>
      <w:r w:rsidR="004E7B64">
        <w:rPr>
          <w:rFonts w:ascii="Arial" w:hAnsi="Arial" w:cs="Arial"/>
          <w:bCs/>
        </w:rPr>
        <w:t xml:space="preserve">   Attendance</w:t>
      </w:r>
      <w:r w:rsidR="00506E38">
        <w:rPr>
          <w:rFonts w:ascii="Arial" w:hAnsi="Arial" w:cs="Arial"/>
          <w:bCs/>
        </w:rPr>
        <w:t>:</w:t>
      </w:r>
      <w:r w:rsidR="004E7B64">
        <w:rPr>
          <w:rFonts w:ascii="Arial" w:hAnsi="Arial" w:cs="Arial"/>
          <w:bCs/>
        </w:rPr>
        <w:t xml:space="preserve"> 25.</w:t>
      </w:r>
    </w:p>
    <w:p w:rsidR="000F3E5C" w:rsidRDefault="000F3E5C" w:rsidP="000F3E5C">
      <w:pPr>
        <w:pStyle w:val="ListParagraph"/>
        <w:numPr>
          <w:ilvl w:val="0"/>
          <w:numId w:val="13"/>
        </w:numPr>
        <w:spacing w:after="120"/>
        <w:rPr>
          <w:rFonts w:ascii="Arial" w:hAnsi="Arial" w:cs="Arial"/>
          <w:bCs/>
        </w:rPr>
      </w:pPr>
      <w:r>
        <w:rPr>
          <w:rFonts w:ascii="Arial" w:hAnsi="Arial" w:cs="Arial"/>
          <w:bCs/>
        </w:rPr>
        <w:t>Welcome &amp; introductions of members &amp; guests.</w:t>
      </w:r>
    </w:p>
    <w:p w:rsidR="000F3E5C" w:rsidRPr="000F3E5C" w:rsidRDefault="000F3E5C" w:rsidP="000F3E5C">
      <w:pPr>
        <w:pStyle w:val="ListParagraph"/>
        <w:numPr>
          <w:ilvl w:val="0"/>
          <w:numId w:val="13"/>
        </w:numPr>
        <w:spacing w:after="120"/>
        <w:rPr>
          <w:rFonts w:ascii="Arial" w:hAnsi="Arial" w:cs="Arial"/>
          <w:bCs/>
        </w:rPr>
      </w:pPr>
      <w:r>
        <w:rPr>
          <w:rFonts w:ascii="Arial" w:hAnsi="Arial" w:cs="Arial"/>
          <w:bCs/>
        </w:rPr>
        <w:t>LMPOA objectives read.</w:t>
      </w:r>
    </w:p>
    <w:p w:rsidR="000F3E5C" w:rsidRPr="004B61C8" w:rsidRDefault="000F3E5C" w:rsidP="000F3E5C">
      <w:pPr>
        <w:pStyle w:val="Header"/>
        <w:tabs>
          <w:tab w:val="clear" w:pos="4320"/>
          <w:tab w:val="clear" w:pos="8640"/>
        </w:tabs>
        <w:spacing w:after="120"/>
        <w:rPr>
          <w:rFonts w:ascii="Arial" w:hAnsi="Arial" w:cs="Arial"/>
        </w:rPr>
      </w:pPr>
      <w:r w:rsidRPr="004B61C8">
        <w:rPr>
          <w:rFonts w:ascii="Arial" w:hAnsi="Arial" w:cs="Arial"/>
          <w:u w:val="single"/>
        </w:rPr>
        <w:t>MINUTES:</w:t>
      </w:r>
      <w:r>
        <w:rPr>
          <w:rFonts w:ascii="Arial" w:hAnsi="Arial" w:cs="Arial"/>
        </w:rPr>
        <w:t xml:space="preserve">  M</w:t>
      </w:r>
      <w:r w:rsidRPr="004B61C8">
        <w:rPr>
          <w:rFonts w:ascii="Arial" w:hAnsi="Arial" w:cs="Arial"/>
        </w:rPr>
        <w:t xml:space="preserve">otion made </w:t>
      </w:r>
      <w:r>
        <w:rPr>
          <w:rFonts w:ascii="Arial" w:hAnsi="Arial" w:cs="Arial"/>
        </w:rPr>
        <w:t xml:space="preserve">and seconded </w:t>
      </w:r>
      <w:r w:rsidRPr="004B61C8">
        <w:rPr>
          <w:rFonts w:ascii="Arial" w:hAnsi="Arial" w:cs="Arial"/>
        </w:rPr>
        <w:t xml:space="preserve">to approve the </w:t>
      </w:r>
      <w:r>
        <w:rPr>
          <w:rFonts w:ascii="Arial" w:hAnsi="Arial" w:cs="Arial"/>
        </w:rPr>
        <w:t>annual</w:t>
      </w:r>
      <w:r w:rsidR="004E7B64">
        <w:rPr>
          <w:rFonts w:ascii="Arial" w:hAnsi="Arial" w:cs="Arial"/>
        </w:rPr>
        <w:t xml:space="preserve"> membership</w:t>
      </w:r>
      <w:r>
        <w:rPr>
          <w:rFonts w:ascii="Arial" w:hAnsi="Arial" w:cs="Arial"/>
        </w:rPr>
        <w:t xml:space="preserve"> meeting m</w:t>
      </w:r>
      <w:r w:rsidRPr="004B61C8">
        <w:rPr>
          <w:rFonts w:ascii="Arial" w:hAnsi="Arial" w:cs="Arial"/>
        </w:rPr>
        <w:t xml:space="preserve">inutes from </w:t>
      </w:r>
      <w:r>
        <w:rPr>
          <w:rFonts w:ascii="Arial" w:hAnsi="Arial" w:cs="Arial"/>
        </w:rPr>
        <w:t>July 10, 2010.  Minutes published in Ripples &amp; posted to web site.</w:t>
      </w:r>
      <w:r w:rsidRPr="004B61C8">
        <w:rPr>
          <w:rFonts w:ascii="Arial" w:hAnsi="Arial" w:cs="Arial"/>
        </w:rPr>
        <w:t xml:space="preserve"> MOTION CARRIED.</w:t>
      </w:r>
    </w:p>
    <w:p w:rsidR="000F3E5C" w:rsidRDefault="004E7B64" w:rsidP="000F3E5C">
      <w:pPr>
        <w:pStyle w:val="Header"/>
        <w:tabs>
          <w:tab w:val="clear" w:pos="4320"/>
          <w:tab w:val="clear" w:pos="8640"/>
        </w:tabs>
        <w:rPr>
          <w:rFonts w:ascii="Arial" w:hAnsi="Arial" w:cs="Arial"/>
        </w:rPr>
      </w:pPr>
      <w:r>
        <w:rPr>
          <w:rFonts w:ascii="Arial" w:hAnsi="Arial" w:cs="Arial"/>
          <w:b/>
          <w:u w:val="single"/>
        </w:rPr>
        <w:t>TREASURER’S REPORT</w:t>
      </w:r>
      <w:r w:rsidR="000F3E5C" w:rsidRPr="00334A30">
        <w:rPr>
          <w:rFonts w:ascii="Arial" w:hAnsi="Arial" w:cs="Arial"/>
          <w:b/>
          <w:u w:val="single"/>
        </w:rPr>
        <w:t>:</w:t>
      </w:r>
      <w:r w:rsidR="000F3E5C" w:rsidRPr="004B61C8">
        <w:rPr>
          <w:rFonts w:ascii="Arial" w:hAnsi="Arial" w:cs="Arial"/>
          <w:u w:val="single"/>
        </w:rPr>
        <w:t xml:space="preserve"> </w:t>
      </w:r>
      <w:r w:rsidR="000F3E5C" w:rsidRPr="004B61C8">
        <w:rPr>
          <w:rFonts w:ascii="Arial" w:hAnsi="Arial" w:cs="Arial"/>
        </w:rPr>
        <w:t xml:space="preserve">  Financial statements were presented &amp; discussed by </w:t>
      </w:r>
      <w:proofErr w:type="spellStart"/>
      <w:r w:rsidR="000F3E5C">
        <w:rPr>
          <w:rFonts w:ascii="Arial" w:hAnsi="Arial" w:cs="Arial"/>
        </w:rPr>
        <w:t>Bloomquist</w:t>
      </w:r>
      <w:proofErr w:type="spellEnd"/>
      <w:r w:rsidR="000F3E5C" w:rsidRPr="004B61C8">
        <w:rPr>
          <w:rFonts w:ascii="Arial" w:hAnsi="Arial" w:cs="Arial"/>
        </w:rPr>
        <w:t xml:space="preserve">.  </w:t>
      </w:r>
      <w:r w:rsidR="000F3E5C">
        <w:rPr>
          <w:rFonts w:ascii="Arial" w:hAnsi="Arial" w:cs="Arial"/>
        </w:rPr>
        <w:t xml:space="preserve">Business Free Checking account balance is </w:t>
      </w:r>
      <w:r w:rsidR="000F3E5C" w:rsidRPr="004B61C8">
        <w:rPr>
          <w:rFonts w:ascii="Arial" w:hAnsi="Arial" w:cs="Arial"/>
        </w:rPr>
        <w:t>$</w:t>
      </w:r>
      <w:r w:rsidR="000F3E5C">
        <w:rPr>
          <w:rFonts w:ascii="Arial" w:hAnsi="Arial" w:cs="Arial"/>
        </w:rPr>
        <w:t>9,514.11 as of October 3, 2010.</w:t>
      </w:r>
    </w:p>
    <w:p w:rsidR="000F3E5C" w:rsidRDefault="000F3E5C" w:rsidP="000F3E5C">
      <w:pPr>
        <w:pStyle w:val="Header"/>
        <w:tabs>
          <w:tab w:val="clear" w:pos="4320"/>
          <w:tab w:val="clear" w:pos="8640"/>
        </w:tabs>
        <w:rPr>
          <w:rFonts w:ascii="Arial" w:hAnsi="Arial" w:cs="Arial"/>
        </w:rPr>
      </w:pPr>
      <w:r w:rsidRPr="00334A30">
        <w:rPr>
          <w:rFonts w:ascii="Arial" w:hAnsi="Arial" w:cs="Arial"/>
          <w:b/>
          <w:u w:val="single"/>
        </w:rPr>
        <w:t>SECRETARY</w:t>
      </w:r>
      <w:r w:rsidR="004E7B64">
        <w:rPr>
          <w:rFonts w:ascii="Arial" w:hAnsi="Arial" w:cs="Arial"/>
          <w:b/>
          <w:u w:val="single"/>
        </w:rPr>
        <w:t>’ REPORT</w:t>
      </w:r>
      <w:r w:rsidRPr="00334A30">
        <w:rPr>
          <w:rFonts w:ascii="Arial" w:hAnsi="Arial" w:cs="Arial"/>
          <w:b/>
          <w:u w:val="single"/>
        </w:rPr>
        <w:t>:</w:t>
      </w:r>
      <w:r>
        <w:rPr>
          <w:rFonts w:ascii="Arial" w:hAnsi="Arial" w:cs="Arial"/>
        </w:rPr>
        <w:t xml:space="preserve">  </w:t>
      </w:r>
    </w:p>
    <w:p w:rsidR="004E7B64" w:rsidRDefault="004E7B64" w:rsidP="004E7B64">
      <w:pPr>
        <w:pStyle w:val="Header"/>
        <w:numPr>
          <w:ilvl w:val="0"/>
          <w:numId w:val="14"/>
        </w:numPr>
        <w:tabs>
          <w:tab w:val="clear" w:pos="4320"/>
          <w:tab w:val="clear" w:pos="8640"/>
        </w:tabs>
        <w:rPr>
          <w:rFonts w:ascii="Arial" w:hAnsi="Arial" w:cs="Arial"/>
        </w:rPr>
      </w:pPr>
      <w:r>
        <w:rPr>
          <w:rFonts w:ascii="Arial" w:hAnsi="Arial" w:cs="Arial"/>
        </w:rPr>
        <w:t>The Ripples Is being distributed to about 90 e-mail addresses and posted the LMPOA web site.</w:t>
      </w:r>
    </w:p>
    <w:p w:rsidR="000F3E5C" w:rsidRDefault="004E7B64" w:rsidP="000F3E5C">
      <w:pPr>
        <w:pStyle w:val="Header"/>
        <w:numPr>
          <w:ilvl w:val="0"/>
          <w:numId w:val="10"/>
        </w:numPr>
        <w:tabs>
          <w:tab w:val="clear" w:pos="4320"/>
          <w:tab w:val="clear" w:pos="8640"/>
        </w:tabs>
        <w:rPr>
          <w:rFonts w:ascii="Arial" w:hAnsi="Arial" w:cs="Arial"/>
        </w:rPr>
      </w:pPr>
      <w:r>
        <w:rPr>
          <w:rFonts w:ascii="Arial" w:hAnsi="Arial" w:cs="Arial"/>
        </w:rPr>
        <w:t xml:space="preserve">July elections:  Herron, </w:t>
      </w:r>
      <w:proofErr w:type="spellStart"/>
      <w:r>
        <w:rPr>
          <w:rFonts w:ascii="Arial" w:hAnsi="Arial" w:cs="Arial"/>
        </w:rPr>
        <w:t>Hannan</w:t>
      </w:r>
      <w:proofErr w:type="spellEnd"/>
      <w:r>
        <w:rPr>
          <w:rFonts w:ascii="Arial" w:hAnsi="Arial" w:cs="Arial"/>
        </w:rPr>
        <w:t xml:space="preserve">, and </w:t>
      </w:r>
      <w:proofErr w:type="spellStart"/>
      <w:r>
        <w:rPr>
          <w:rFonts w:ascii="Arial" w:hAnsi="Arial" w:cs="Arial"/>
        </w:rPr>
        <w:t>Wojcik</w:t>
      </w:r>
      <w:proofErr w:type="spellEnd"/>
      <w:r>
        <w:rPr>
          <w:rFonts w:ascii="Arial" w:hAnsi="Arial" w:cs="Arial"/>
        </w:rPr>
        <w:t xml:space="preserve"> elected to 3-year terms.</w:t>
      </w:r>
    </w:p>
    <w:p w:rsidR="00EF5935" w:rsidRDefault="00506E38" w:rsidP="000F3E5C">
      <w:pPr>
        <w:pStyle w:val="Header"/>
        <w:numPr>
          <w:ilvl w:val="0"/>
          <w:numId w:val="10"/>
        </w:numPr>
        <w:tabs>
          <w:tab w:val="clear" w:pos="4320"/>
          <w:tab w:val="clear" w:pos="8640"/>
        </w:tabs>
        <w:rPr>
          <w:rFonts w:ascii="Arial" w:hAnsi="Arial" w:cs="Arial"/>
        </w:rPr>
      </w:pPr>
      <w:r>
        <w:rPr>
          <w:rFonts w:ascii="Arial" w:hAnsi="Arial" w:cs="Arial"/>
        </w:rPr>
        <w:t xml:space="preserve">Officers: </w:t>
      </w:r>
      <w:r w:rsidR="00EF5935">
        <w:rPr>
          <w:rFonts w:ascii="Arial" w:hAnsi="Arial" w:cs="Arial"/>
        </w:rPr>
        <w:t xml:space="preserve">Porter President, Spencer VP, </w:t>
      </w:r>
      <w:proofErr w:type="spellStart"/>
      <w:r w:rsidR="00EF5935">
        <w:rPr>
          <w:rFonts w:ascii="Arial" w:hAnsi="Arial" w:cs="Arial"/>
        </w:rPr>
        <w:t>Bloomquist</w:t>
      </w:r>
      <w:proofErr w:type="spellEnd"/>
      <w:r w:rsidR="00EF5935">
        <w:rPr>
          <w:rFonts w:ascii="Arial" w:hAnsi="Arial" w:cs="Arial"/>
        </w:rPr>
        <w:t>, Treasurer, Roe</w:t>
      </w:r>
      <w:r>
        <w:rPr>
          <w:rFonts w:ascii="Arial" w:hAnsi="Arial" w:cs="Arial"/>
        </w:rPr>
        <w:t>, Secr</w:t>
      </w:r>
      <w:r w:rsidR="00EF5935">
        <w:rPr>
          <w:rFonts w:ascii="Arial" w:hAnsi="Arial" w:cs="Arial"/>
        </w:rPr>
        <w:t>etary</w:t>
      </w:r>
    </w:p>
    <w:p w:rsidR="004E7B64" w:rsidRDefault="004E7B64" w:rsidP="004E7B64">
      <w:pPr>
        <w:pStyle w:val="Header"/>
        <w:numPr>
          <w:ilvl w:val="0"/>
          <w:numId w:val="10"/>
        </w:numPr>
        <w:tabs>
          <w:tab w:val="clear" w:pos="4320"/>
          <w:tab w:val="clear" w:pos="8640"/>
        </w:tabs>
        <w:rPr>
          <w:rFonts w:ascii="Arial" w:hAnsi="Arial" w:cs="Arial"/>
        </w:rPr>
      </w:pPr>
      <w:r>
        <w:rPr>
          <w:rFonts w:ascii="Arial" w:hAnsi="Arial" w:cs="Arial"/>
        </w:rPr>
        <w:t>LMPOA is a member of the Grayling Regional Chamber of Commerce.</w:t>
      </w:r>
    </w:p>
    <w:p w:rsidR="004E7B64" w:rsidRPr="004E7B64" w:rsidRDefault="004E7B64" w:rsidP="004E7B64">
      <w:pPr>
        <w:pStyle w:val="Header"/>
        <w:numPr>
          <w:ilvl w:val="0"/>
          <w:numId w:val="10"/>
        </w:numPr>
        <w:tabs>
          <w:tab w:val="clear" w:pos="4320"/>
          <w:tab w:val="clear" w:pos="8640"/>
        </w:tabs>
        <w:rPr>
          <w:rFonts w:ascii="Arial" w:hAnsi="Arial" w:cs="Arial"/>
          <w:u w:val="single"/>
        </w:rPr>
      </w:pPr>
      <w:r>
        <w:rPr>
          <w:rFonts w:ascii="Arial" w:hAnsi="Arial" w:cs="Arial"/>
        </w:rPr>
        <w:t>Letter from Huron Pines thanking LMPOA for its $100 contribution and inviting members to visit their website for information about efforts to conserve and protect forests, lakes, and streams of Northeast Michigan.</w:t>
      </w:r>
    </w:p>
    <w:p w:rsidR="000F3E5C" w:rsidRDefault="000F3E5C" w:rsidP="000F3E5C">
      <w:pPr>
        <w:pStyle w:val="Header"/>
        <w:tabs>
          <w:tab w:val="clear" w:pos="4320"/>
          <w:tab w:val="clear" w:pos="8640"/>
        </w:tabs>
        <w:rPr>
          <w:rFonts w:ascii="Arial" w:hAnsi="Arial" w:cs="Arial"/>
        </w:rPr>
      </w:pPr>
      <w:r w:rsidRPr="00334A30">
        <w:rPr>
          <w:rFonts w:ascii="Arial" w:hAnsi="Arial" w:cs="Arial"/>
          <w:b/>
          <w:u w:val="single"/>
        </w:rPr>
        <w:t>MEMBERSHIP:</w:t>
      </w:r>
      <w:r>
        <w:rPr>
          <w:rFonts w:ascii="Arial" w:hAnsi="Arial" w:cs="Arial"/>
        </w:rPr>
        <w:t xml:space="preserve">  Refer to </w:t>
      </w:r>
      <w:r w:rsidR="004E7B64">
        <w:rPr>
          <w:rFonts w:ascii="Arial" w:hAnsi="Arial" w:cs="Arial"/>
        </w:rPr>
        <w:t>attached report</w:t>
      </w:r>
      <w:r>
        <w:rPr>
          <w:rFonts w:ascii="Arial" w:hAnsi="Arial" w:cs="Arial"/>
        </w:rPr>
        <w:t xml:space="preserve"> for </w:t>
      </w:r>
      <w:r w:rsidR="004E7B64">
        <w:rPr>
          <w:rFonts w:ascii="Arial" w:hAnsi="Arial" w:cs="Arial"/>
        </w:rPr>
        <w:t>a complete outline of plans reviewed in the meeting</w:t>
      </w:r>
      <w:r>
        <w:rPr>
          <w:rFonts w:ascii="Arial" w:hAnsi="Arial" w:cs="Arial"/>
        </w:rPr>
        <w:t>.</w:t>
      </w:r>
    </w:p>
    <w:p w:rsidR="000F3E5C" w:rsidRDefault="000F3E5C" w:rsidP="000F3E5C">
      <w:pPr>
        <w:pStyle w:val="Header"/>
        <w:numPr>
          <w:ilvl w:val="0"/>
          <w:numId w:val="10"/>
        </w:numPr>
        <w:tabs>
          <w:tab w:val="clear" w:pos="4320"/>
          <w:tab w:val="clear" w:pos="8640"/>
        </w:tabs>
        <w:rPr>
          <w:rFonts w:ascii="Arial" w:hAnsi="Arial" w:cs="Arial"/>
        </w:rPr>
      </w:pPr>
      <w:r>
        <w:rPr>
          <w:rFonts w:ascii="Arial" w:hAnsi="Arial" w:cs="Arial"/>
        </w:rPr>
        <w:t>251 paid members.</w:t>
      </w:r>
    </w:p>
    <w:p w:rsidR="000F3E5C" w:rsidRDefault="000F3E5C" w:rsidP="000F3E5C">
      <w:pPr>
        <w:pStyle w:val="Header"/>
        <w:numPr>
          <w:ilvl w:val="0"/>
          <w:numId w:val="10"/>
        </w:numPr>
        <w:tabs>
          <w:tab w:val="clear" w:pos="4320"/>
          <w:tab w:val="clear" w:pos="8640"/>
        </w:tabs>
        <w:rPr>
          <w:rFonts w:ascii="Arial" w:hAnsi="Arial" w:cs="Arial"/>
        </w:rPr>
      </w:pPr>
      <w:r>
        <w:rPr>
          <w:rFonts w:ascii="Arial" w:hAnsi="Arial" w:cs="Arial"/>
        </w:rPr>
        <w:t>61 former members shown as unpaid for 2010.</w:t>
      </w:r>
    </w:p>
    <w:p w:rsidR="000F3E5C" w:rsidRDefault="000F3E5C" w:rsidP="000F3E5C">
      <w:pPr>
        <w:pStyle w:val="Header"/>
        <w:numPr>
          <w:ilvl w:val="0"/>
          <w:numId w:val="10"/>
        </w:numPr>
        <w:tabs>
          <w:tab w:val="clear" w:pos="4320"/>
          <w:tab w:val="clear" w:pos="8640"/>
        </w:tabs>
        <w:rPr>
          <w:rFonts w:ascii="Arial" w:hAnsi="Arial" w:cs="Arial"/>
        </w:rPr>
      </w:pPr>
      <w:r>
        <w:rPr>
          <w:rFonts w:ascii="Arial" w:hAnsi="Arial" w:cs="Arial"/>
        </w:rPr>
        <w:t xml:space="preserve">Special event planning for 2011 is on track. </w:t>
      </w:r>
    </w:p>
    <w:p w:rsidR="000F3E5C" w:rsidRDefault="007A4EE3" w:rsidP="000F3E5C">
      <w:pPr>
        <w:pStyle w:val="Header"/>
        <w:tabs>
          <w:tab w:val="clear" w:pos="4320"/>
          <w:tab w:val="clear" w:pos="8640"/>
        </w:tabs>
        <w:rPr>
          <w:rFonts w:ascii="Arial" w:hAnsi="Arial" w:cs="Arial"/>
          <w:u w:val="single"/>
        </w:rPr>
      </w:pPr>
      <w:r>
        <w:rPr>
          <w:rFonts w:ascii="Arial" w:hAnsi="Arial" w:cs="Arial"/>
          <w:noProof/>
          <w:u w:val="single"/>
          <w:lang w:eastAsia="zh-TW"/>
        </w:rPr>
        <w:pict>
          <v:shapetype id="_x0000_t202" coordsize="21600,21600" o:spt="202" path="m,l,21600r21600,l21600,xe">
            <v:stroke joinstyle="miter"/>
            <v:path gradientshapeok="t" o:connecttype="rect"/>
          </v:shapetype>
          <v:shape id="_x0000_s1047" type="#_x0000_t202" style="position:absolute;margin-left:2.9pt;margin-top:.3pt;width:208.2pt;height:21.05pt;z-index:251675648;mso-width-percent:400;mso-width-percent:400;mso-width-relative:margin;mso-height-relative:margin">
            <v:textbox>
              <w:txbxContent>
                <w:p w:rsidR="000F3E5C" w:rsidRPr="007A3802" w:rsidRDefault="000F3E5C" w:rsidP="000F3E5C">
                  <w:pPr>
                    <w:pStyle w:val="Header"/>
                    <w:tabs>
                      <w:tab w:val="clear" w:pos="4320"/>
                      <w:tab w:val="clear" w:pos="8640"/>
                    </w:tabs>
                    <w:spacing w:after="120"/>
                    <w:rPr>
                      <w:rFonts w:ascii="Arial" w:hAnsi="Arial" w:cs="Arial"/>
                    </w:rPr>
                  </w:pPr>
                  <w:r w:rsidRPr="00633591">
                    <w:rPr>
                      <w:rFonts w:ascii="Arial" w:hAnsi="Arial" w:cs="Arial"/>
                      <w:highlight w:val="yellow"/>
                    </w:rPr>
                    <w:t>COMMITTEE REPORTS:</w:t>
                  </w:r>
                </w:p>
              </w:txbxContent>
            </v:textbox>
          </v:shape>
        </w:pict>
      </w:r>
    </w:p>
    <w:p w:rsidR="000F3E5C" w:rsidRDefault="000F3E5C" w:rsidP="000F3E5C">
      <w:pPr>
        <w:pStyle w:val="Header"/>
        <w:tabs>
          <w:tab w:val="clear" w:pos="4320"/>
          <w:tab w:val="clear" w:pos="8640"/>
        </w:tabs>
        <w:rPr>
          <w:rFonts w:ascii="Arial" w:hAnsi="Arial" w:cs="Arial"/>
          <w:u w:val="single"/>
        </w:rPr>
      </w:pPr>
    </w:p>
    <w:p w:rsidR="000F3E5C" w:rsidRPr="00334A30" w:rsidRDefault="001851A0" w:rsidP="000F3E5C">
      <w:pPr>
        <w:pStyle w:val="Header"/>
        <w:tabs>
          <w:tab w:val="clear" w:pos="4320"/>
          <w:tab w:val="clear" w:pos="8640"/>
        </w:tabs>
        <w:rPr>
          <w:rFonts w:ascii="Arial" w:hAnsi="Arial" w:cs="Arial"/>
          <w:b/>
        </w:rPr>
      </w:pPr>
      <w:r w:rsidRPr="00334A30">
        <w:rPr>
          <w:rFonts w:ascii="Arial" w:hAnsi="Arial" w:cs="Arial"/>
          <w:b/>
          <w:u w:val="single"/>
        </w:rPr>
        <w:t>WATER LEVEL</w:t>
      </w:r>
      <w:r w:rsidR="004E7B64">
        <w:rPr>
          <w:rFonts w:ascii="Arial" w:hAnsi="Arial" w:cs="Arial"/>
          <w:b/>
          <w:u w:val="single"/>
        </w:rPr>
        <w:t xml:space="preserve"> PROJECT</w:t>
      </w:r>
      <w:r w:rsidR="000F3E5C" w:rsidRPr="00334A30">
        <w:rPr>
          <w:rFonts w:ascii="Arial" w:hAnsi="Arial" w:cs="Arial"/>
          <w:b/>
        </w:rPr>
        <w:t xml:space="preserve">: </w:t>
      </w:r>
    </w:p>
    <w:p w:rsidR="000F3E5C" w:rsidRDefault="004E7B64" w:rsidP="000F3E5C">
      <w:pPr>
        <w:pStyle w:val="Header"/>
        <w:numPr>
          <w:ilvl w:val="0"/>
          <w:numId w:val="11"/>
        </w:numPr>
        <w:tabs>
          <w:tab w:val="clear" w:pos="4320"/>
          <w:tab w:val="clear" w:pos="8640"/>
        </w:tabs>
        <w:rPr>
          <w:rFonts w:ascii="Arial" w:hAnsi="Arial" w:cs="Arial"/>
        </w:rPr>
      </w:pPr>
      <w:r>
        <w:rPr>
          <w:rFonts w:ascii="Arial" w:hAnsi="Arial" w:cs="Arial"/>
        </w:rPr>
        <w:t>Spencer reviewed the history and status of the completed project four-year project to gain better control of the lake’s water level.</w:t>
      </w:r>
    </w:p>
    <w:p w:rsidR="004E7B64" w:rsidRDefault="004E7B64" w:rsidP="000F3E5C">
      <w:pPr>
        <w:pStyle w:val="Header"/>
        <w:numPr>
          <w:ilvl w:val="0"/>
          <w:numId w:val="11"/>
        </w:numPr>
        <w:tabs>
          <w:tab w:val="clear" w:pos="4320"/>
          <w:tab w:val="clear" w:pos="8640"/>
        </w:tabs>
        <w:rPr>
          <w:rFonts w:ascii="Arial" w:hAnsi="Arial" w:cs="Arial"/>
        </w:rPr>
      </w:pPr>
      <w:r>
        <w:rPr>
          <w:rFonts w:ascii="Arial" w:hAnsi="Arial" w:cs="Arial"/>
        </w:rPr>
        <w:t>Porter discussed the current status of the lake level, which has been very close the court ordered level all season.  He also thanked Spencer and Stevens for their respective roles in making the project successful.</w:t>
      </w:r>
    </w:p>
    <w:p w:rsidR="00EF5935" w:rsidRDefault="00EF5935" w:rsidP="003C16D9">
      <w:pPr>
        <w:pStyle w:val="Header"/>
        <w:tabs>
          <w:tab w:val="clear" w:pos="4320"/>
          <w:tab w:val="clear" w:pos="8640"/>
        </w:tabs>
        <w:spacing w:after="120"/>
        <w:ind w:left="1080"/>
        <w:rPr>
          <w:rFonts w:ascii="Arial" w:hAnsi="Arial" w:cs="Arial"/>
          <w:b/>
          <w:sz w:val="28"/>
        </w:rPr>
      </w:pPr>
      <w:r>
        <w:rPr>
          <w:rFonts w:ascii="Arial" w:hAnsi="Arial" w:cs="Arial"/>
          <w:b/>
          <w:sz w:val="28"/>
        </w:rPr>
        <w:t>Lake Water Level: Inches +/- Court Ordered Level @ Wall Gage</w:t>
      </w:r>
    </w:p>
    <w:p w:rsidR="00506E38" w:rsidRDefault="00506E38" w:rsidP="00506E38">
      <w:pPr>
        <w:pStyle w:val="Header"/>
        <w:tabs>
          <w:tab w:val="clear" w:pos="4320"/>
          <w:tab w:val="clear" w:pos="8640"/>
        </w:tabs>
        <w:spacing w:after="120"/>
        <w:ind w:left="1080"/>
        <w:jc w:val="center"/>
        <w:rPr>
          <w:rFonts w:ascii="Arial" w:hAnsi="Arial" w:cs="Arial"/>
          <w:b/>
          <w:sz w:val="28"/>
        </w:rPr>
      </w:pPr>
      <w:r>
        <w:rPr>
          <w:rFonts w:ascii="Arial" w:hAnsi="Arial" w:cs="Arial"/>
          <w:b/>
          <w:sz w:val="28"/>
        </w:rPr>
        <w:t>(Calendar Year 2009 vs. 2010)</w:t>
      </w:r>
    </w:p>
    <w:tbl>
      <w:tblPr>
        <w:tblW w:w="9854" w:type="dxa"/>
        <w:tblInd w:w="93" w:type="dxa"/>
        <w:tblLook w:val="04A0"/>
      </w:tblPr>
      <w:tblGrid>
        <w:gridCol w:w="9306"/>
        <w:gridCol w:w="781"/>
      </w:tblGrid>
      <w:tr w:rsidR="00D326B0" w:rsidTr="00DB6122">
        <w:trPr>
          <w:trHeight w:val="300"/>
        </w:trPr>
        <w:tc>
          <w:tcPr>
            <w:tcW w:w="9073" w:type="dxa"/>
            <w:tcBorders>
              <w:top w:val="nil"/>
              <w:left w:val="nil"/>
              <w:bottom w:val="nil"/>
              <w:right w:val="nil"/>
            </w:tcBorders>
            <w:shd w:val="clear" w:color="auto" w:fill="auto"/>
            <w:noWrap/>
            <w:vAlign w:val="bottom"/>
            <w:hideMark/>
          </w:tcPr>
          <w:p w:rsidR="00D326B0" w:rsidRDefault="00D326B0" w:rsidP="00D326B0">
            <w:pPr>
              <w:rPr>
                <w:rFonts w:ascii="Calibri" w:hAnsi="Calibri"/>
                <w:color w:val="000000"/>
                <w:sz w:val="22"/>
                <w:szCs w:val="22"/>
              </w:rPr>
            </w:pPr>
            <w:bookmarkStart w:id="0" w:name="RANGE!A2:A13"/>
            <w:bookmarkEnd w:id="0"/>
            <w:r>
              <w:rPr>
                <w:rFonts w:ascii="Calibri" w:hAnsi="Calibri"/>
                <w:noProof/>
                <w:color w:val="000000"/>
                <w:sz w:val="22"/>
                <w:szCs w:val="22"/>
              </w:rPr>
              <w:drawing>
                <wp:inline distT="0" distB="0" distL="0" distR="0">
                  <wp:extent cx="5734050" cy="180022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1" w:name="RANGE!A2:C13"/>
          </w:p>
          <w:p w:rsidR="00D326B0" w:rsidRDefault="00D326B0">
            <w:pPr>
              <w:rPr>
                <w:rFonts w:ascii="Calibri" w:hAnsi="Calibri"/>
                <w:color w:val="000000"/>
                <w:sz w:val="22"/>
                <w:szCs w:val="22"/>
              </w:rPr>
            </w:pPr>
          </w:p>
          <w:bookmarkEnd w:id="1"/>
          <w:p w:rsidR="00D326B0" w:rsidRDefault="00D326B0">
            <w:pPr>
              <w:rPr>
                <w:rFonts w:ascii="Calibri" w:hAnsi="Calibri"/>
                <w:color w:val="000000"/>
                <w:sz w:val="22"/>
                <w:szCs w:val="22"/>
              </w:rPr>
            </w:pPr>
          </w:p>
        </w:tc>
        <w:tc>
          <w:tcPr>
            <w:tcW w:w="781" w:type="dxa"/>
            <w:tcBorders>
              <w:top w:val="nil"/>
              <w:left w:val="nil"/>
              <w:bottom w:val="nil"/>
              <w:right w:val="nil"/>
            </w:tcBorders>
            <w:shd w:val="clear" w:color="auto" w:fill="auto"/>
            <w:noWrap/>
            <w:vAlign w:val="bottom"/>
            <w:hideMark/>
          </w:tcPr>
          <w:p w:rsidR="00D326B0" w:rsidRDefault="00D326B0">
            <w:pPr>
              <w:jc w:val="right"/>
              <w:rPr>
                <w:rFonts w:ascii="Calibri" w:hAnsi="Calibri"/>
                <w:color w:val="000000"/>
                <w:sz w:val="22"/>
                <w:szCs w:val="22"/>
              </w:rPr>
            </w:pPr>
          </w:p>
        </w:tc>
      </w:tr>
    </w:tbl>
    <w:p w:rsidR="000F3E5C" w:rsidRDefault="000F3E5C" w:rsidP="000F3E5C">
      <w:pPr>
        <w:pStyle w:val="Header"/>
        <w:tabs>
          <w:tab w:val="clear" w:pos="4320"/>
          <w:tab w:val="clear" w:pos="8640"/>
        </w:tabs>
        <w:spacing w:after="120"/>
        <w:rPr>
          <w:rFonts w:ascii="Arial" w:hAnsi="Arial" w:cs="Arial"/>
          <w:b/>
          <w:u w:val="single"/>
        </w:rPr>
      </w:pPr>
      <w:r>
        <w:rPr>
          <w:rFonts w:ascii="Arial" w:hAnsi="Arial" w:cs="Arial"/>
          <w:b/>
          <w:u w:val="single"/>
        </w:rPr>
        <w:lastRenderedPageBreak/>
        <w:t>M</w:t>
      </w:r>
      <w:r w:rsidRPr="00EA59BE">
        <w:rPr>
          <w:rFonts w:ascii="Arial" w:hAnsi="Arial" w:cs="Arial"/>
          <w:b/>
          <w:u w:val="single"/>
        </w:rPr>
        <w:t>I</w:t>
      </w:r>
      <w:r w:rsidR="00DB6122">
        <w:rPr>
          <w:rFonts w:ascii="Arial" w:hAnsi="Arial" w:cs="Arial"/>
          <w:b/>
          <w:u w:val="single"/>
        </w:rPr>
        <w:t>L</w:t>
      </w:r>
      <w:r w:rsidRPr="00EA59BE">
        <w:rPr>
          <w:rFonts w:ascii="Arial" w:hAnsi="Arial" w:cs="Arial"/>
          <w:b/>
          <w:u w:val="single"/>
        </w:rPr>
        <w:t>FOIL REMEDIATION:</w:t>
      </w:r>
    </w:p>
    <w:p w:rsidR="000F3E5C" w:rsidRPr="00334A30" w:rsidRDefault="000F3E5C" w:rsidP="000F3E5C">
      <w:pPr>
        <w:pStyle w:val="Header"/>
        <w:numPr>
          <w:ilvl w:val="0"/>
          <w:numId w:val="4"/>
        </w:numPr>
        <w:tabs>
          <w:tab w:val="clear" w:pos="4320"/>
          <w:tab w:val="clear" w:pos="8640"/>
        </w:tabs>
        <w:rPr>
          <w:rFonts w:ascii="Arial" w:hAnsi="Arial" w:cs="Arial"/>
          <w:b/>
          <w:u w:val="single"/>
        </w:rPr>
      </w:pPr>
      <w:r>
        <w:rPr>
          <w:rFonts w:ascii="Arial" w:hAnsi="Arial" w:cs="Arial"/>
        </w:rPr>
        <w:t>No lake bottom treatment was needed in 2010 and none may be required in 2011.</w:t>
      </w:r>
    </w:p>
    <w:p w:rsidR="000F3E5C" w:rsidRPr="00334A30" w:rsidRDefault="000F3E5C" w:rsidP="000F3E5C">
      <w:pPr>
        <w:pStyle w:val="Header"/>
        <w:numPr>
          <w:ilvl w:val="0"/>
          <w:numId w:val="4"/>
        </w:numPr>
        <w:tabs>
          <w:tab w:val="clear" w:pos="4320"/>
          <w:tab w:val="clear" w:pos="8640"/>
        </w:tabs>
        <w:rPr>
          <w:rFonts w:ascii="Arial" w:hAnsi="Arial" w:cs="Arial"/>
          <w:b/>
          <w:u w:val="single"/>
        </w:rPr>
      </w:pPr>
      <w:r>
        <w:rPr>
          <w:rFonts w:ascii="Arial" w:hAnsi="Arial" w:cs="Arial"/>
        </w:rPr>
        <w:t>The $400 permit required by the DEQR for lake treatment with 2-4d is not refundable or transferable to another year.</w:t>
      </w:r>
    </w:p>
    <w:p w:rsidR="003F45D2" w:rsidRPr="00DB6122" w:rsidRDefault="00506E38" w:rsidP="00DB6122">
      <w:pPr>
        <w:pStyle w:val="Header"/>
        <w:numPr>
          <w:ilvl w:val="0"/>
          <w:numId w:val="4"/>
        </w:numPr>
        <w:tabs>
          <w:tab w:val="clear" w:pos="4320"/>
          <w:tab w:val="clear" w:pos="8640"/>
        </w:tabs>
        <w:rPr>
          <w:rFonts w:ascii="Arial" w:hAnsi="Arial" w:cs="Arial"/>
          <w:b/>
          <w:u w:val="single"/>
        </w:rPr>
      </w:pPr>
      <w:r>
        <w:rPr>
          <w:rFonts w:ascii="Arial" w:hAnsi="Arial" w:cs="Arial"/>
        </w:rPr>
        <w:t>Porter</w:t>
      </w:r>
      <w:r w:rsidR="000F3E5C">
        <w:rPr>
          <w:rFonts w:ascii="Arial" w:hAnsi="Arial" w:cs="Arial"/>
        </w:rPr>
        <w:t xml:space="preserve"> reminded </w:t>
      </w:r>
      <w:r>
        <w:rPr>
          <w:rFonts w:ascii="Arial" w:hAnsi="Arial" w:cs="Arial"/>
        </w:rPr>
        <w:t xml:space="preserve">the member ship that </w:t>
      </w:r>
      <w:r w:rsidR="000F3E5C">
        <w:rPr>
          <w:rFonts w:ascii="Arial" w:hAnsi="Arial" w:cs="Arial"/>
        </w:rPr>
        <w:t>Gary McConnell will be unable to perform the function of Milfoil Chairperson after this summer.</w:t>
      </w:r>
    </w:p>
    <w:p w:rsidR="007D27EA" w:rsidRPr="007D27EA" w:rsidRDefault="007D27EA" w:rsidP="007D27EA">
      <w:pPr>
        <w:pStyle w:val="Header"/>
        <w:tabs>
          <w:tab w:val="clear" w:pos="4320"/>
          <w:tab w:val="clear" w:pos="8640"/>
        </w:tabs>
        <w:ind w:left="1080"/>
        <w:rPr>
          <w:rFonts w:ascii="Arial" w:hAnsi="Arial" w:cs="Arial"/>
          <w:b/>
          <w:sz w:val="16"/>
          <w:szCs w:val="16"/>
          <w:u w:val="single"/>
        </w:rPr>
      </w:pPr>
    </w:p>
    <w:p w:rsidR="007D27EA" w:rsidRPr="00625FFD" w:rsidRDefault="007D27EA" w:rsidP="007D27EA">
      <w:pPr>
        <w:pStyle w:val="Header"/>
        <w:tabs>
          <w:tab w:val="clear" w:pos="4320"/>
          <w:tab w:val="clear" w:pos="8640"/>
        </w:tabs>
        <w:rPr>
          <w:rFonts w:ascii="Arial" w:hAnsi="Arial" w:cs="Arial"/>
          <w:b/>
          <w:u w:val="single"/>
        </w:rPr>
      </w:pPr>
      <w:proofErr w:type="gramStart"/>
      <w:r w:rsidRPr="007D27EA">
        <w:rPr>
          <w:rFonts w:ascii="Arial" w:hAnsi="Arial" w:cs="Arial"/>
          <w:b/>
          <w:u w:val="single"/>
        </w:rPr>
        <w:t>Water Clarity (</w:t>
      </w:r>
      <w:proofErr w:type="spellStart"/>
      <w:r w:rsidRPr="007D27EA">
        <w:rPr>
          <w:rFonts w:ascii="Arial" w:hAnsi="Arial" w:cs="Arial"/>
          <w:b/>
          <w:u w:val="single"/>
        </w:rPr>
        <w:t>Secchi</w:t>
      </w:r>
      <w:proofErr w:type="spellEnd"/>
      <w:r w:rsidRPr="007D27EA">
        <w:rPr>
          <w:rFonts w:ascii="Arial" w:hAnsi="Arial" w:cs="Arial"/>
          <w:b/>
          <w:u w:val="single"/>
        </w:rPr>
        <w:t xml:space="preserve"> Disk Readings)</w:t>
      </w:r>
      <w:r w:rsidR="00DB6122">
        <w:rPr>
          <w:rFonts w:ascii="Arial" w:hAnsi="Arial" w:cs="Arial"/>
        </w:rPr>
        <w:t>:  No report</w:t>
      </w:r>
      <w:r w:rsidR="00506E38">
        <w:rPr>
          <w:rFonts w:ascii="Arial" w:hAnsi="Arial" w:cs="Arial"/>
        </w:rPr>
        <w:t>.</w:t>
      </w:r>
      <w:proofErr w:type="gramEnd"/>
      <w:r w:rsidR="00506E38">
        <w:rPr>
          <w:rFonts w:ascii="Arial" w:hAnsi="Arial" w:cs="Arial"/>
        </w:rPr>
        <w:t xml:space="preserve">  No issues cited by members.</w:t>
      </w:r>
    </w:p>
    <w:p w:rsidR="00625FFD" w:rsidRPr="007D27EA" w:rsidRDefault="00625FFD" w:rsidP="00625FFD">
      <w:pPr>
        <w:pStyle w:val="Header"/>
        <w:tabs>
          <w:tab w:val="clear" w:pos="4320"/>
          <w:tab w:val="clear" w:pos="8640"/>
        </w:tabs>
        <w:rPr>
          <w:rFonts w:ascii="Arial" w:hAnsi="Arial" w:cs="Arial"/>
          <w:b/>
          <w:sz w:val="16"/>
          <w:szCs w:val="16"/>
          <w:u w:val="single"/>
        </w:rPr>
      </w:pPr>
    </w:p>
    <w:p w:rsidR="007D27EA" w:rsidRDefault="007D27EA" w:rsidP="00625FFD">
      <w:pPr>
        <w:pStyle w:val="Header"/>
        <w:tabs>
          <w:tab w:val="clear" w:pos="4320"/>
          <w:tab w:val="clear" w:pos="8640"/>
        </w:tabs>
        <w:rPr>
          <w:rFonts w:ascii="Arial" w:hAnsi="Arial" w:cs="Arial"/>
          <w:b/>
          <w:u w:val="single"/>
        </w:rPr>
      </w:pPr>
      <w:r>
        <w:rPr>
          <w:rFonts w:ascii="Arial" w:hAnsi="Arial" w:cs="Arial"/>
          <w:b/>
          <w:u w:val="single"/>
        </w:rPr>
        <w:t>Water Testing:</w:t>
      </w:r>
    </w:p>
    <w:p w:rsidR="007D27EA" w:rsidRDefault="007D27EA" w:rsidP="007D27EA">
      <w:pPr>
        <w:pStyle w:val="Header"/>
        <w:numPr>
          <w:ilvl w:val="0"/>
          <w:numId w:val="4"/>
        </w:numPr>
        <w:tabs>
          <w:tab w:val="clear" w:pos="4320"/>
          <w:tab w:val="clear" w:pos="8640"/>
        </w:tabs>
        <w:rPr>
          <w:rFonts w:ascii="Arial" w:hAnsi="Arial" w:cs="Arial"/>
        </w:rPr>
      </w:pPr>
      <w:r>
        <w:rPr>
          <w:rFonts w:ascii="Arial" w:hAnsi="Arial" w:cs="Arial"/>
        </w:rPr>
        <w:t>Moore reports surface water is slightly basic.  No change from previous readings.</w:t>
      </w:r>
    </w:p>
    <w:p w:rsidR="007D27EA" w:rsidRDefault="007D27EA" w:rsidP="00953FF9">
      <w:pPr>
        <w:pStyle w:val="Header"/>
        <w:numPr>
          <w:ilvl w:val="0"/>
          <w:numId w:val="4"/>
        </w:numPr>
        <w:tabs>
          <w:tab w:val="clear" w:pos="4320"/>
          <w:tab w:val="clear" w:pos="8640"/>
        </w:tabs>
        <w:spacing w:after="120"/>
        <w:rPr>
          <w:rFonts w:ascii="Arial" w:hAnsi="Arial" w:cs="Arial"/>
        </w:rPr>
      </w:pPr>
      <w:r>
        <w:rPr>
          <w:rFonts w:ascii="Arial" w:hAnsi="Arial" w:cs="Arial"/>
        </w:rPr>
        <w:t>Po</w:t>
      </w:r>
      <w:r w:rsidR="00DB6122">
        <w:rPr>
          <w:rFonts w:ascii="Arial" w:hAnsi="Arial" w:cs="Arial"/>
        </w:rPr>
        <w:t>r</w:t>
      </w:r>
      <w:r>
        <w:rPr>
          <w:rFonts w:ascii="Arial" w:hAnsi="Arial" w:cs="Arial"/>
        </w:rPr>
        <w:t>ter reports Phosphorus, Chlorophyll, and E-Coli testing are on schedule.</w:t>
      </w:r>
    </w:p>
    <w:p w:rsidR="000F3E5C" w:rsidRPr="00953FF9" w:rsidRDefault="007A4EE3" w:rsidP="00953FF9">
      <w:pPr>
        <w:pStyle w:val="Header"/>
        <w:tabs>
          <w:tab w:val="clear" w:pos="4320"/>
          <w:tab w:val="clear" w:pos="8640"/>
        </w:tabs>
        <w:spacing w:after="120"/>
        <w:rPr>
          <w:rFonts w:ascii="Arial" w:hAnsi="Arial" w:cs="Arial"/>
        </w:rPr>
      </w:pPr>
      <w:r w:rsidRPr="007A4EE3">
        <w:rPr>
          <w:rFonts w:ascii="Arial" w:hAnsi="Arial" w:cs="Arial"/>
          <w:noProof/>
          <w:u w:val="single"/>
        </w:rPr>
        <w:pict>
          <v:shape id="_x0000_s1049" type="#_x0000_t202" style="position:absolute;margin-left:4.75pt;margin-top:32.25pt;width:109.7pt;height:21.75pt;z-index:251678720;mso-height-percent:200;mso-height-percent:200;mso-width-relative:margin;mso-height-relative:margin">
            <v:textbox style="mso-fit-shape-to-text:t">
              <w:txbxContent>
                <w:p w:rsidR="000F3E5C" w:rsidRPr="00DB2DED" w:rsidRDefault="000F3E5C" w:rsidP="000F3E5C">
                  <w:pPr>
                    <w:rPr>
                      <w:b/>
                    </w:rPr>
                  </w:pPr>
                  <w:r w:rsidRPr="00633591">
                    <w:rPr>
                      <w:b/>
                      <w:highlight w:val="yellow"/>
                    </w:rPr>
                    <w:t>OLD BUSINESS</w:t>
                  </w:r>
                </w:p>
              </w:txbxContent>
            </v:textbox>
          </v:shape>
        </w:pict>
      </w:r>
      <w:r w:rsidR="00953FF9" w:rsidRPr="00953FF9">
        <w:rPr>
          <w:rFonts w:ascii="Arial" w:hAnsi="Arial" w:cs="Arial"/>
          <w:b/>
          <w:u w:val="single"/>
        </w:rPr>
        <w:t>LAKE MARGRETHE FOUNDATION FUND:</w:t>
      </w:r>
      <w:r w:rsidR="00953FF9" w:rsidRPr="004B61C8">
        <w:rPr>
          <w:rFonts w:ascii="Arial" w:hAnsi="Arial" w:cs="Arial"/>
          <w:u w:val="single"/>
        </w:rPr>
        <w:t xml:space="preserve">  </w:t>
      </w:r>
      <w:r w:rsidR="00953FF9" w:rsidRPr="004B61C8">
        <w:rPr>
          <w:rFonts w:ascii="Arial" w:hAnsi="Arial" w:cs="Arial"/>
        </w:rPr>
        <w:t xml:space="preserve">Porter </w:t>
      </w:r>
      <w:r w:rsidR="00953FF9">
        <w:rPr>
          <w:rFonts w:ascii="Arial" w:hAnsi="Arial" w:cs="Arial"/>
        </w:rPr>
        <w:t>reported $95,194.91 in the endowment.  $400 granted for Milfoil treatm</w:t>
      </w:r>
      <w:r w:rsidR="00506E38">
        <w:rPr>
          <w:rFonts w:ascii="Arial" w:hAnsi="Arial" w:cs="Arial"/>
        </w:rPr>
        <w:t>ent permit. See business report in the Ripples for current data.</w:t>
      </w:r>
    </w:p>
    <w:p w:rsidR="000F3E5C" w:rsidRPr="00953FF9" w:rsidRDefault="00953FF9" w:rsidP="000F3E5C">
      <w:pPr>
        <w:pStyle w:val="Header"/>
        <w:tabs>
          <w:tab w:val="clear" w:pos="4320"/>
          <w:tab w:val="clear" w:pos="8640"/>
        </w:tabs>
        <w:rPr>
          <w:rFonts w:ascii="Arial" w:hAnsi="Arial" w:cs="Arial"/>
        </w:rPr>
      </w:pPr>
      <w:r>
        <w:rPr>
          <w:rFonts w:ascii="Arial" w:hAnsi="Arial" w:cs="Arial"/>
        </w:rPr>
        <w:tab/>
      </w:r>
    </w:p>
    <w:p w:rsidR="000F3E5C" w:rsidRDefault="000F3E5C" w:rsidP="000F3E5C">
      <w:pPr>
        <w:pStyle w:val="Header"/>
        <w:tabs>
          <w:tab w:val="clear" w:pos="4320"/>
          <w:tab w:val="clear" w:pos="8640"/>
        </w:tabs>
        <w:rPr>
          <w:rFonts w:ascii="Arial" w:hAnsi="Arial" w:cs="Arial"/>
          <w:u w:val="single"/>
        </w:rPr>
      </w:pPr>
    </w:p>
    <w:p w:rsidR="00506E38" w:rsidRDefault="0047012E" w:rsidP="00506E38">
      <w:pPr>
        <w:pStyle w:val="Header"/>
        <w:numPr>
          <w:ilvl w:val="0"/>
          <w:numId w:val="16"/>
        </w:numPr>
        <w:tabs>
          <w:tab w:val="clear" w:pos="4320"/>
          <w:tab w:val="clear" w:pos="8640"/>
        </w:tabs>
        <w:rPr>
          <w:rFonts w:ascii="Arial" w:hAnsi="Arial" w:cs="Arial"/>
        </w:rPr>
      </w:pPr>
      <w:r w:rsidRPr="0047012E">
        <w:rPr>
          <w:rFonts w:ascii="Arial" w:hAnsi="Arial" w:cs="Arial"/>
        </w:rPr>
        <w:t>None</w:t>
      </w:r>
    </w:p>
    <w:p w:rsidR="0047012E" w:rsidRPr="00506E38" w:rsidRDefault="007A4EE3" w:rsidP="00506E38">
      <w:pPr>
        <w:pStyle w:val="Header"/>
        <w:tabs>
          <w:tab w:val="clear" w:pos="4320"/>
          <w:tab w:val="clear" w:pos="8640"/>
        </w:tabs>
        <w:ind w:left="720"/>
        <w:rPr>
          <w:rFonts w:ascii="Arial" w:hAnsi="Arial" w:cs="Arial"/>
        </w:rPr>
      </w:pPr>
      <w:r>
        <w:rPr>
          <w:rFonts w:ascii="Arial" w:hAnsi="Arial" w:cs="Arial"/>
          <w:noProof/>
          <w:lang w:eastAsia="zh-TW"/>
        </w:rPr>
        <w:pict>
          <v:shape id="_x0000_s1048" type="#_x0000_t202" style="position:absolute;left:0;text-align:left;margin-left:5.85pt;margin-top:7.45pt;width:112.9pt;height:21.75pt;z-index:251677696;mso-height-percent:200;mso-height-percent:200;mso-width-relative:margin;mso-height-relative:margin">
            <v:textbox style="mso-fit-shape-to-text:t">
              <w:txbxContent>
                <w:p w:rsidR="000F3E5C" w:rsidRPr="005251B5" w:rsidRDefault="000F3E5C" w:rsidP="000F3E5C">
                  <w:pPr>
                    <w:rPr>
                      <w:b/>
                    </w:rPr>
                  </w:pPr>
                  <w:r w:rsidRPr="00633591">
                    <w:rPr>
                      <w:b/>
                      <w:highlight w:val="yellow"/>
                    </w:rPr>
                    <w:t>NEW BUSINESS</w:t>
                  </w:r>
                </w:p>
              </w:txbxContent>
            </v:textbox>
          </v:shape>
        </w:pict>
      </w:r>
    </w:p>
    <w:p w:rsidR="000F3E5C" w:rsidRDefault="000F3E5C" w:rsidP="000F3E5C">
      <w:pPr>
        <w:pStyle w:val="Header"/>
        <w:tabs>
          <w:tab w:val="clear" w:pos="4320"/>
          <w:tab w:val="clear" w:pos="8640"/>
        </w:tabs>
        <w:rPr>
          <w:rFonts w:ascii="Arial" w:hAnsi="Arial" w:cs="Arial"/>
          <w:u w:val="single"/>
        </w:rPr>
      </w:pPr>
    </w:p>
    <w:p w:rsidR="000F3E5C" w:rsidRPr="004B61C8" w:rsidRDefault="000F3E5C" w:rsidP="000F3E5C">
      <w:pPr>
        <w:pStyle w:val="Header"/>
        <w:tabs>
          <w:tab w:val="clear" w:pos="4320"/>
          <w:tab w:val="clear" w:pos="8640"/>
        </w:tabs>
        <w:rPr>
          <w:rFonts w:ascii="Arial" w:hAnsi="Arial" w:cs="Arial"/>
          <w:u w:val="single"/>
        </w:rPr>
      </w:pPr>
    </w:p>
    <w:p w:rsidR="000F3E5C" w:rsidRPr="0047012E" w:rsidRDefault="000F3E5C" w:rsidP="0047012E">
      <w:pPr>
        <w:pStyle w:val="Header"/>
        <w:numPr>
          <w:ilvl w:val="0"/>
          <w:numId w:val="7"/>
        </w:numPr>
        <w:tabs>
          <w:tab w:val="clear" w:pos="4320"/>
          <w:tab w:val="clear" w:pos="8640"/>
        </w:tabs>
        <w:rPr>
          <w:rFonts w:ascii="Arial" w:hAnsi="Arial" w:cs="Arial"/>
        </w:rPr>
      </w:pPr>
      <w:r>
        <w:rPr>
          <w:rFonts w:ascii="Arial" w:hAnsi="Arial" w:cs="Arial"/>
        </w:rPr>
        <w:t xml:space="preserve">Porter reported that the DNR (Mark </w:t>
      </w:r>
      <w:proofErr w:type="spellStart"/>
      <w:r>
        <w:rPr>
          <w:rFonts w:ascii="Arial" w:hAnsi="Arial" w:cs="Arial"/>
        </w:rPr>
        <w:t>Tonnello</w:t>
      </w:r>
      <w:proofErr w:type="spellEnd"/>
      <w:r>
        <w:rPr>
          <w:rFonts w:ascii="Arial" w:hAnsi="Arial" w:cs="Arial"/>
        </w:rPr>
        <w:t>)</w:t>
      </w:r>
      <w:r w:rsidR="00506E38">
        <w:rPr>
          <w:rFonts w:ascii="Arial" w:hAnsi="Arial" w:cs="Arial"/>
        </w:rPr>
        <w:t xml:space="preserve"> </w:t>
      </w:r>
      <w:r w:rsidRPr="0047012E">
        <w:rPr>
          <w:rFonts w:ascii="Arial" w:hAnsi="Arial" w:cs="Arial"/>
        </w:rPr>
        <w:t>has not planted Walleye fingerlings into the lake for another year.  This is due to a concern with the spread of disease.  The following quote from the DNR web site:</w:t>
      </w:r>
    </w:p>
    <w:p w:rsidR="000F3E5C" w:rsidRPr="009149F5" w:rsidRDefault="000F3E5C" w:rsidP="000F3E5C">
      <w:pPr>
        <w:pStyle w:val="NormalWeb"/>
        <w:rPr>
          <w:i/>
          <w:sz w:val="24"/>
        </w:rPr>
      </w:pPr>
      <w:r w:rsidRPr="009149F5">
        <w:rPr>
          <w:i/>
          <w:sz w:val="24"/>
        </w:rPr>
        <w:t>“As in the past two years, the Department of Natural Resources and Environment's Fisheries Division will again produce fewer walleye fry this year than it did in the past as a precaution against spreading of viral hemorrhagic septicemia (VHS). Fisheries Division is taking precautions not to expose its hatcheries to the virus or to spread the disease to additional water bodies in the state of Michigan.”</w:t>
      </w:r>
    </w:p>
    <w:p w:rsidR="000F3E5C" w:rsidRDefault="007A4EE3" w:rsidP="0047012E">
      <w:pPr>
        <w:pStyle w:val="NormalWeb"/>
        <w:numPr>
          <w:ilvl w:val="0"/>
          <w:numId w:val="12"/>
        </w:numPr>
        <w:rPr>
          <w:sz w:val="24"/>
          <w:szCs w:val="24"/>
        </w:rPr>
      </w:pPr>
      <w:r w:rsidRPr="007A4EE3">
        <w:rPr>
          <w:noProof/>
          <w:sz w:val="16"/>
          <w:szCs w:val="16"/>
          <w:lang w:eastAsia="zh-TW"/>
        </w:rPr>
        <w:pict>
          <v:shape id="_x0000_s1050" type="#_x0000_t202" style="position:absolute;left:0;text-align:left;margin-left:-3.2pt;margin-top:51.8pt;width:175.25pt;height:23.25pt;z-index:251680768;mso-width-relative:margin;mso-height-relative:margin">
            <v:textbox style="mso-next-textbox:#_x0000_s1050">
              <w:txbxContent>
                <w:p w:rsidR="0047012E" w:rsidRDefault="0047012E">
                  <w:r w:rsidRPr="0047012E">
                    <w:rPr>
                      <w:highlight w:val="yellow"/>
                    </w:rPr>
                    <w:t>MEMBER COMMUNICATION</w:t>
                  </w:r>
                </w:p>
              </w:txbxContent>
            </v:textbox>
          </v:shape>
        </w:pict>
      </w:r>
      <w:r w:rsidR="000F3E5C" w:rsidRPr="00052C10">
        <w:rPr>
          <w:sz w:val="24"/>
          <w:szCs w:val="24"/>
        </w:rPr>
        <w:t>However</w:t>
      </w:r>
      <w:r w:rsidR="000F3E5C">
        <w:rPr>
          <w:sz w:val="24"/>
          <w:szCs w:val="24"/>
        </w:rPr>
        <w:t xml:space="preserve">, </w:t>
      </w:r>
      <w:r w:rsidR="000F3E5C" w:rsidRPr="00052C10">
        <w:rPr>
          <w:sz w:val="24"/>
          <w:szCs w:val="24"/>
        </w:rPr>
        <w:t>the DNR does report that 2,000 Northern Muskellunge were planted in Lake Margrethe in 2010.</w:t>
      </w:r>
      <w:r w:rsidR="000F3E5C">
        <w:rPr>
          <w:sz w:val="24"/>
          <w:szCs w:val="24"/>
        </w:rPr>
        <w:t xml:space="preserve">  This brings the total to about 10,000 </w:t>
      </w:r>
      <w:r w:rsidR="001851A0">
        <w:rPr>
          <w:sz w:val="24"/>
          <w:szCs w:val="24"/>
        </w:rPr>
        <w:t>Muskie’s</w:t>
      </w:r>
      <w:r w:rsidR="000F3E5C">
        <w:rPr>
          <w:sz w:val="24"/>
          <w:szCs w:val="24"/>
        </w:rPr>
        <w:t xml:space="preserve"> being planted in Lake Margrethe in the past few years.</w:t>
      </w:r>
    </w:p>
    <w:p w:rsidR="001851A0" w:rsidRDefault="001851A0" w:rsidP="0047012E">
      <w:pPr>
        <w:pStyle w:val="NormalWeb"/>
        <w:rPr>
          <w:sz w:val="24"/>
          <w:szCs w:val="24"/>
        </w:rPr>
      </w:pPr>
      <w:r>
        <w:rPr>
          <w:sz w:val="24"/>
          <w:szCs w:val="24"/>
        </w:rPr>
        <w:t xml:space="preserve"> </w:t>
      </w:r>
    </w:p>
    <w:p w:rsidR="001851A0" w:rsidRPr="001851A0" w:rsidRDefault="001851A0" w:rsidP="0047012E">
      <w:pPr>
        <w:pStyle w:val="NormalWeb"/>
        <w:rPr>
          <w:sz w:val="16"/>
          <w:szCs w:val="16"/>
        </w:rPr>
      </w:pPr>
    </w:p>
    <w:p w:rsidR="004F748A" w:rsidRDefault="0047012E" w:rsidP="004F748A">
      <w:pPr>
        <w:pStyle w:val="NormalWeb"/>
        <w:spacing w:before="0" w:beforeAutospacing="0" w:after="0" w:afterAutospacing="0"/>
        <w:rPr>
          <w:sz w:val="24"/>
          <w:szCs w:val="24"/>
        </w:rPr>
      </w:pPr>
      <w:r>
        <w:rPr>
          <w:sz w:val="24"/>
          <w:szCs w:val="24"/>
        </w:rPr>
        <w:t xml:space="preserve">Sandra </w:t>
      </w:r>
      <w:proofErr w:type="spellStart"/>
      <w:r>
        <w:rPr>
          <w:sz w:val="24"/>
          <w:szCs w:val="24"/>
        </w:rPr>
        <w:t>Michalik</w:t>
      </w:r>
      <w:proofErr w:type="spellEnd"/>
      <w:r>
        <w:rPr>
          <w:sz w:val="24"/>
          <w:szCs w:val="24"/>
        </w:rPr>
        <w:t>, of Eagle Point, provided a step</w:t>
      </w:r>
      <w:r w:rsidR="004F748A">
        <w:rPr>
          <w:sz w:val="24"/>
          <w:szCs w:val="24"/>
        </w:rPr>
        <w:t xml:space="preserve"> by step outline of how she and her husband installed a</w:t>
      </w:r>
      <w:r w:rsidR="001851A0">
        <w:rPr>
          <w:sz w:val="24"/>
          <w:szCs w:val="24"/>
        </w:rPr>
        <w:t xml:space="preserve"> Coco</w:t>
      </w:r>
      <w:r w:rsidR="004F748A">
        <w:rPr>
          <w:sz w:val="24"/>
          <w:szCs w:val="24"/>
        </w:rPr>
        <w:t>nut Log seawall</w:t>
      </w:r>
      <w:r w:rsidR="001851A0">
        <w:rPr>
          <w:sz w:val="24"/>
          <w:szCs w:val="24"/>
        </w:rPr>
        <w:t xml:space="preserve"> at</w:t>
      </w:r>
      <w:r w:rsidR="004F748A">
        <w:rPr>
          <w:sz w:val="24"/>
          <w:szCs w:val="24"/>
        </w:rPr>
        <w:t xml:space="preserve"> </w:t>
      </w:r>
      <w:r>
        <w:rPr>
          <w:sz w:val="24"/>
          <w:szCs w:val="24"/>
        </w:rPr>
        <w:t>their lake front</w:t>
      </w:r>
      <w:r w:rsidR="001851A0">
        <w:rPr>
          <w:sz w:val="24"/>
          <w:szCs w:val="24"/>
        </w:rPr>
        <w:t xml:space="preserve"> home on Lake Margrethe</w:t>
      </w:r>
      <w:r>
        <w:rPr>
          <w:sz w:val="24"/>
          <w:szCs w:val="24"/>
        </w:rPr>
        <w:t>.</w:t>
      </w:r>
      <w:r w:rsidR="004F748A">
        <w:rPr>
          <w:sz w:val="24"/>
          <w:szCs w:val="24"/>
        </w:rPr>
        <w:t xml:space="preserve">  The DEQ approved this unique approach to renewing and protecting the natural beauty of the beach and shoreline.  The logs are purchased in 10’ length and installed so that the natural plant growth occurs while protecting from beach erosion.  Please refer t</w:t>
      </w:r>
      <w:r w:rsidR="001851A0">
        <w:rPr>
          <w:sz w:val="24"/>
          <w:szCs w:val="24"/>
        </w:rPr>
        <w:t>o our web site for</w:t>
      </w:r>
      <w:r w:rsidR="004F748A">
        <w:rPr>
          <w:sz w:val="24"/>
          <w:szCs w:val="24"/>
        </w:rPr>
        <w:t xml:space="preserve"> photographs of the project.</w:t>
      </w:r>
    </w:p>
    <w:p w:rsidR="001851A0" w:rsidRPr="001851A0" w:rsidRDefault="001851A0" w:rsidP="004F748A">
      <w:pPr>
        <w:pStyle w:val="NormalWeb"/>
        <w:spacing w:before="0" w:beforeAutospacing="0" w:after="0" w:afterAutospacing="0"/>
        <w:rPr>
          <w:sz w:val="16"/>
          <w:szCs w:val="16"/>
        </w:rPr>
      </w:pPr>
    </w:p>
    <w:p w:rsidR="004F748A" w:rsidRDefault="004F748A" w:rsidP="004F748A">
      <w:pPr>
        <w:pStyle w:val="NormalWeb"/>
        <w:spacing w:before="0" w:beforeAutospacing="0" w:after="0" w:afterAutospacing="0"/>
        <w:rPr>
          <w:sz w:val="24"/>
          <w:szCs w:val="24"/>
        </w:rPr>
      </w:pPr>
      <w:r>
        <w:rPr>
          <w:sz w:val="24"/>
          <w:szCs w:val="24"/>
        </w:rPr>
        <w:t xml:space="preserve">The following statement from the DEQ web site suggests that typical vertical seawalls are being discouraged and will be replaced by more natural barriers as described by Sandra. </w:t>
      </w:r>
    </w:p>
    <w:p w:rsidR="001851A0" w:rsidRDefault="001851A0" w:rsidP="004F748A">
      <w:pPr>
        <w:rPr>
          <w:rFonts w:ascii="Arial" w:hAnsi="Arial" w:cs="Arial"/>
          <w:color w:val="000000"/>
          <w:sz w:val="20"/>
          <w:szCs w:val="20"/>
        </w:rPr>
      </w:pPr>
    </w:p>
    <w:p w:rsidR="001851A0" w:rsidRDefault="001851A0" w:rsidP="004F748A">
      <w:pPr>
        <w:rPr>
          <w:rFonts w:ascii="Arial" w:hAnsi="Arial" w:cs="Arial"/>
          <w:color w:val="000000"/>
          <w:sz w:val="20"/>
          <w:szCs w:val="20"/>
        </w:rPr>
      </w:pPr>
    </w:p>
    <w:p w:rsidR="001851A0" w:rsidRDefault="001851A0" w:rsidP="004F748A">
      <w:pPr>
        <w:rPr>
          <w:rFonts w:ascii="Arial" w:hAnsi="Arial" w:cs="Arial"/>
          <w:color w:val="000000"/>
          <w:sz w:val="20"/>
          <w:szCs w:val="20"/>
        </w:rPr>
      </w:pPr>
    </w:p>
    <w:p w:rsidR="0047012E" w:rsidRPr="001851A0" w:rsidRDefault="001851A0" w:rsidP="001851A0">
      <w:pPr>
        <w:rPr>
          <w:rFonts w:ascii="Arial" w:hAnsi="Arial" w:cs="Arial"/>
          <w:i/>
          <w:color w:val="000000"/>
        </w:rPr>
      </w:pPr>
      <w:r w:rsidRPr="001851A0">
        <w:rPr>
          <w:rFonts w:ascii="Arial" w:hAnsi="Arial" w:cs="Arial"/>
          <w:i/>
          <w:color w:val="000000"/>
        </w:rPr>
        <w:t>“</w:t>
      </w:r>
      <w:r w:rsidR="004F748A" w:rsidRPr="001851A0">
        <w:rPr>
          <w:rFonts w:ascii="Arial" w:hAnsi="Arial" w:cs="Arial"/>
          <w:i/>
          <w:color w:val="000000"/>
        </w:rPr>
        <w:t>Because of these negative effects of vertical walls the DEQ recommends the use of natural shoreline treatments.  New shoreline hardening should be avoided where alternate approaches such as plantings and natural stone can be used to protect property from erosion.  The purpose and benefits of plantings/stone are to provide a natural transition between the open water and upland, while providing habitat.</w:t>
      </w:r>
      <w:r w:rsidRPr="001851A0">
        <w:rPr>
          <w:rFonts w:ascii="Arial" w:hAnsi="Arial" w:cs="Arial"/>
          <w:i/>
          <w:color w:val="000000"/>
        </w:rPr>
        <w:t>”</w:t>
      </w:r>
    </w:p>
    <w:p w:rsidR="000F3E5C" w:rsidRPr="001D425E" w:rsidRDefault="000F3E5C" w:rsidP="000F3E5C">
      <w:pPr>
        <w:pStyle w:val="Header"/>
        <w:tabs>
          <w:tab w:val="clear" w:pos="4320"/>
          <w:tab w:val="clear" w:pos="8640"/>
        </w:tabs>
        <w:ind w:left="1080"/>
        <w:rPr>
          <w:rFonts w:ascii="Arial" w:hAnsi="Arial" w:cs="Arial"/>
          <w:sz w:val="16"/>
          <w:szCs w:val="16"/>
        </w:rPr>
      </w:pPr>
    </w:p>
    <w:p w:rsidR="000F3E5C" w:rsidRDefault="000F3E5C" w:rsidP="000F3E5C">
      <w:pPr>
        <w:pStyle w:val="Header"/>
        <w:tabs>
          <w:tab w:val="clear" w:pos="4320"/>
          <w:tab w:val="clear" w:pos="8640"/>
        </w:tabs>
        <w:rPr>
          <w:rFonts w:ascii="Arial" w:hAnsi="Arial" w:cs="Arial"/>
        </w:rPr>
      </w:pPr>
      <w:r w:rsidRPr="004B61C8">
        <w:rPr>
          <w:rFonts w:ascii="Arial" w:hAnsi="Arial" w:cs="Arial"/>
          <w:u w:val="single"/>
        </w:rPr>
        <w:t>ADJOURN</w:t>
      </w:r>
      <w:r w:rsidRPr="004B61C8">
        <w:rPr>
          <w:rFonts w:ascii="Arial" w:hAnsi="Arial" w:cs="Arial"/>
        </w:rPr>
        <w:t>:  T</w:t>
      </w:r>
      <w:r>
        <w:rPr>
          <w:rFonts w:ascii="Arial" w:hAnsi="Arial" w:cs="Arial"/>
        </w:rPr>
        <w:t>here being no further business, the meeting adjourned at</w:t>
      </w:r>
      <w:r w:rsidRPr="004B61C8">
        <w:rPr>
          <w:rFonts w:ascii="Arial" w:hAnsi="Arial" w:cs="Arial"/>
        </w:rPr>
        <w:t xml:space="preserve"> </w:t>
      </w:r>
      <w:r w:rsidR="00BD2C0C">
        <w:rPr>
          <w:rFonts w:ascii="Arial" w:hAnsi="Arial" w:cs="Arial"/>
        </w:rPr>
        <w:t>10:20</w:t>
      </w:r>
      <w:r w:rsidRPr="004B61C8">
        <w:rPr>
          <w:rFonts w:ascii="Arial" w:hAnsi="Arial" w:cs="Arial"/>
        </w:rPr>
        <w:t xml:space="preserve"> am.</w:t>
      </w:r>
    </w:p>
    <w:p w:rsidR="00BD2C0C" w:rsidRDefault="00BD2C0C" w:rsidP="000F3E5C">
      <w:pPr>
        <w:pStyle w:val="Header"/>
        <w:tabs>
          <w:tab w:val="clear" w:pos="4320"/>
          <w:tab w:val="clear" w:pos="8640"/>
        </w:tabs>
        <w:rPr>
          <w:rFonts w:ascii="Arial" w:hAnsi="Arial" w:cs="Arial"/>
        </w:rPr>
      </w:pPr>
    </w:p>
    <w:p w:rsidR="000F3E5C" w:rsidRDefault="000F3E5C" w:rsidP="000F3E5C">
      <w:pPr>
        <w:pStyle w:val="Header"/>
        <w:tabs>
          <w:tab w:val="clear" w:pos="4320"/>
          <w:tab w:val="clear" w:pos="8640"/>
        </w:tabs>
        <w:rPr>
          <w:rFonts w:ascii="Arial" w:hAnsi="Arial" w:cs="Arial"/>
        </w:rPr>
      </w:pPr>
    </w:p>
    <w:p w:rsidR="000F3E5C" w:rsidRDefault="000F3E5C" w:rsidP="000F3E5C">
      <w:pPr>
        <w:pStyle w:val="Header"/>
        <w:tabs>
          <w:tab w:val="clear" w:pos="4320"/>
          <w:tab w:val="clear" w:pos="8640"/>
        </w:tabs>
        <w:rPr>
          <w:rFonts w:ascii="Arial" w:hAnsi="Arial" w:cs="Arial"/>
        </w:rPr>
      </w:pPr>
      <w:r>
        <w:rPr>
          <w:rFonts w:ascii="Arial" w:hAnsi="Arial" w:cs="Arial"/>
        </w:rPr>
        <w:t>Respectfully submitted,</w:t>
      </w:r>
    </w:p>
    <w:p w:rsidR="000F3E5C" w:rsidRDefault="000F3E5C" w:rsidP="000F3E5C">
      <w:pPr>
        <w:pStyle w:val="Header"/>
        <w:tabs>
          <w:tab w:val="clear" w:pos="4320"/>
          <w:tab w:val="clear" w:pos="8640"/>
        </w:tabs>
        <w:rPr>
          <w:rFonts w:ascii="Arial" w:hAnsi="Arial" w:cs="Arial"/>
        </w:rPr>
      </w:pPr>
      <w:r>
        <w:rPr>
          <w:rFonts w:ascii="Arial" w:hAnsi="Arial" w:cs="Arial"/>
        </w:rPr>
        <w:t>Marshall Roe</w:t>
      </w:r>
    </w:p>
    <w:p w:rsidR="000F3E5C" w:rsidRPr="004B61C8" w:rsidRDefault="000F3E5C" w:rsidP="000F3E5C">
      <w:pPr>
        <w:pStyle w:val="Header"/>
        <w:tabs>
          <w:tab w:val="clear" w:pos="4320"/>
          <w:tab w:val="clear" w:pos="8640"/>
        </w:tabs>
        <w:rPr>
          <w:rFonts w:ascii="Arial" w:hAnsi="Arial" w:cs="Arial"/>
        </w:rPr>
      </w:pPr>
      <w:r>
        <w:rPr>
          <w:rFonts w:ascii="Arial" w:hAnsi="Arial" w:cs="Arial"/>
        </w:rPr>
        <w:t>Secretary</w:t>
      </w:r>
    </w:p>
    <w:p w:rsidR="007871FF" w:rsidRDefault="007871FF" w:rsidP="007871FF">
      <w:pPr>
        <w:pStyle w:val="Header"/>
        <w:tabs>
          <w:tab w:val="clear" w:pos="4320"/>
          <w:tab w:val="clear" w:pos="8640"/>
        </w:tabs>
        <w:rPr>
          <w:rFonts w:ascii="Arial" w:hAnsi="Arial" w:cs="Arial"/>
        </w:rPr>
      </w:pPr>
    </w:p>
    <w:p w:rsidR="00A24B53" w:rsidRDefault="00A24B53" w:rsidP="007871FF">
      <w:pPr>
        <w:pStyle w:val="Header"/>
        <w:tabs>
          <w:tab w:val="clear" w:pos="4320"/>
          <w:tab w:val="clear" w:pos="8640"/>
        </w:tabs>
        <w:rPr>
          <w:rFonts w:ascii="Arial" w:hAnsi="Arial" w:cs="Arial"/>
        </w:rPr>
      </w:pPr>
      <w:r>
        <w:rPr>
          <w:rFonts w:ascii="Arial" w:hAnsi="Arial" w:cs="Arial"/>
        </w:rPr>
        <w:t>Attachment:  2011 Membership Plans approved by the Board.</w:t>
      </w:r>
    </w:p>
    <w:p w:rsidR="007D27EA" w:rsidRDefault="007D27EA" w:rsidP="007D27EA">
      <w:pPr>
        <w:pStyle w:val="Header"/>
        <w:tabs>
          <w:tab w:val="clear" w:pos="4320"/>
          <w:tab w:val="clear" w:pos="8640"/>
        </w:tabs>
        <w:rPr>
          <w:rFonts w:ascii="Arial" w:hAnsi="Arial" w:cs="Arial"/>
        </w:rPr>
      </w:pPr>
    </w:p>
    <w:p w:rsidR="007871FF" w:rsidRDefault="007871FF" w:rsidP="007D27EA">
      <w:pPr>
        <w:pStyle w:val="Header"/>
        <w:tabs>
          <w:tab w:val="clear" w:pos="4320"/>
          <w:tab w:val="clear" w:pos="8640"/>
        </w:tabs>
        <w:rPr>
          <w:rFonts w:ascii="Arial" w:hAnsi="Arial" w:cs="Arial"/>
        </w:rPr>
      </w:pPr>
    </w:p>
    <w:p w:rsidR="00A24B53" w:rsidRDefault="00A24B53">
      <w:pPr>
        <w:rPr>
          <w:rFonts w:ascii="Arial" w:hAnsi="Arial" w:cs="Arial"/>
        </w:rPr>
      </w:pPr>
      <w:r>
        <w:rPr>
          <w:rFonts w:ascii="Arial" w:hAnsi="Arial" w:cs="Arial"/>
        </w:rPr>
        <w:br w:type="page"/>
      </w:r>
    </w:p>
    <w:p w:rsidR="00A24B53" w:rsidRDefault="007A4EE3" w:rsidP="00A24B53">
      <w:pPr>
        <w:rPr>
          <w:noProof/>
        </w:rPr>
      </w:pPr>
      <w:r>
        <w:rPr>
          <w:noProof/>
          <w:lang w:eastAsia="zh-TW"/>
        </w:rPr>
        <w:lastRenderedPageBreak/>
        <w:pict>
          <v:shape id="_x0000_s1052" type="#_x0000_t202" style="position:absolute;margin-left:0;margin-top:.4pt;width:257.6pt;height:101.3pt;z-index:251682816;mso-position-horizontal:center;mso-width-relative:margin;mso-height-relative:margin">
            <v:textbox>
              <w:txbxContent>
                <w:p w:rsidR="00A24B53" w:rsidRDefault="00A24B53" w:rsidP="00A24B53">
                  <w:pPr>
                    <w:spacing w:before="120"/>
                    <w:jc w:val="center"/>
                  </w:pPr>
                  <w:r>
                    <w:t>LMPOA Membership Committee</w:t>
                  </w:r>
                </w:p>
                <w:p w:rsidR="00A24B53" w:rsidRDefault="00A24B53" w:rsidP="00A24B53">
                  <w:r>
                    <w:t>The goal of the committee is to increase membership in the association through involving property owners and families in activities and events that showcase the importance and fun of being part of the LMPOA.</w:t>
                  </w:r>
                </w:p>
              </w:txbxContent>
            </v:textbox>
          </v:shape>
        </w:pict>
      </w:r>
      <w:r w:rsidR="00A24B53">
        <w:rPr>
          <w:noProof/>
        </w:rPr>
        <w:t>`</w:t>
      </w:r>
      <w:r w:rsidR="00A24B53">
        <w:rPr>
          <w:noProof/>
        </w:rPr>
        <w:drawing>
          <wp:inline distT="0" distB="0" distL="0" distR="0">
            <wp:extent cx="1205316" cy="1277036"/>
            <wp:effectExtent l="19050" t="0" r="0" b="0"/>
            <wp:docPr id="1" name="Picture 0" descr="Lake Margrethe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Margrethe Map.gif"/>
                    <pic:cNvPicPr/>
                  </pic:nvPicPr>
                  <pic:blipFill>
                    <a:blip r:embed="rId9" cstate="print"/>
                    <a:srcRect t="4556" r="1276" b="2278"/>
                    <a:stretch>
                      <a:fillRect/>
                    </a:stretch>
                  </pic:blipFill>
                  <pic:spPr>
                    <a:xfrm>
                      <a:off x="0" y="0"/>
                      <a:ext cx="1207166" cy="1278996"/>
                    </a:xfrm>
                    <a:prstGeom prst="rect">
                      <a:avLst/>
                    </a:prstGeom>
                  </pic:spPr>
                </pic:pic>
              </a:graphicData>
            </a:graphic>
          </wp:inline>
        </w:drawing>
      </w:r>
    </w:p>
    <w:p w:rsidR="00A24B53" w:rsidRPr="001D098D" w:rsidRDefault="00A24B53" w:rsidP="00A24B53">
      <w:pPr>
        <w:pStyle w:val="Heading1"/>
        <w:spacing w:before="240"/>
        <w:jc w:val="center"/>
        <w:rPr>
          <w:i/>
          <w:sz w:val="22"/>
          <w:szCs w:val="22"/>
        </w:rPr>
      </w:pPr>
      <w:r w:rsidRPr="001D098D">
        <w:rPr>
          <w:i/>
          <w:sz w:val="22"/>
          <w:szCs w:val="22"/>
        </w:rPr>
        <w:t>October 9, 2010</w:t>
      </w:r>
    </w:p>
    <w:p w:rsidR="00A24B53" w:rsidRDefault="00A24B53" w:rsidP="00A24B53">
      <w:pPr>
        <w:pStyle w:val="Heading1"/>
        <w:spacing w:before="0"/>
        <w:rPr>
          <w:sz w:val="24"/>
          <w:szCs w:val="24"/>
        </w:rPr>
      </w:pPr>
      <w:r>
        <w:rPr>
          <w:sz w:val="24"/>
          <w:szCs w:val="24"/>
        </w:rPr>
        <w:t xml:space="preserve">Report – RJ </w:t>
      </w:r>
      <w:proofErr w:type="spellStart"/>
      <w:r>
        <w:rPr>
          <w:sz w:val="24"/>
          <w:szCs w:val="24"/>
        </w:rPr>
        <w:t>Hannan</w:t>
      </w:r>
      <w:proofErr w:type="spellEnd"/>
      <w:r>
        <w:rPr>
          <w:sz w:val="24"/>
          <w:szCs w:val="24"/>
        </w:rPr>
        <w:t>, Membership Chair</w:t>
      </w:r>
    </w:p>
    <w:p w:rsidR="00A24B53" w:rsidRDefault="00A24B53" w:rsidP="00A24B53">
      <w:pPr>
        <w:pStyle w:val="ListParagraph"/>
        <w:numPr>
          <w:ilvl w:val="0"/>
          <w:numId w:val="17"/>
        </w:numPr>
        <w:spacing w:after="200" w:line="276" w:lineRule="auto"/>
      </w:pPr>
      <w:r>
        <w:t>We are completing solicitation for 2010 membership by personal contact with a number of stragglers and those who may have lost interest in the association for seemly minor issues.  This effort has resulted in about 12 new or renewed memberships.</w:t>
      </w:r>
    </w:p>
    <w:p w:rsidR="00A24B53" w:rsidRDefault="00A24B53" w:rsidP="00A24B53">
      <w:pPr>
        <w:pStyle w:val="ListParagraph"/>
        <w:numPr>
          <w:ilvl w:val="0"/>
          <w:numId w:val="17"/>
        </w:numPr>
        <w:spacing w:after="200" w:line="276" w:lineRule="auto"/>
      </w:pPr>
      <w:r>
        <w:t>The coming summer season should be a turnaround year in which the association once again grows its membership.  Three new programs should contribute significantly toward this goal:</w:t>
      </w:r>
    </w:p>
    <w:p w:rsidR="00A24B53" w:rsidRDefault="00A24B53" w:rsidP="00A24B53">
      <w:pPr>
        <w:pStyle w:val="ListParagraph"/>
        <w:numPr>
          <w:ilvl w:val="1"/>
          <w:numId w:val="17"/>
        </w:numPr>
        <w:spacing w:after="200" w:line="276" w:lineRule="auto"/>
      </w:pPr>
      <w:r w:rsidRPr="004A2D69">
        <w:rPr>
          <w:b/>
          <w:color w:val="943634" w:themeColor="accent2" w:themeShade="BF"/>
        </w:rPr>
        <w:t>Social Event</w:t>
      </w:r>
      <w:r>
        <w:t xml:space="preserve"> - A dinner show at the Camp Grayling Officers Club on May 21</w:t>
      </w:r>
      <w:r w:rsidRPr="00D62FEF">
        <w:t xml:space="preserve"> </w:t>
      </w:r>
      <w:r>
        <w:t xml:space="preserve">will kick off the summer season in a big way with </w:t>
      </w:r>
      <w:r>
        <w:rPr>
          <w:noProof/>
        </w:rPr>
        <w:drawing>
          <wp:anchor distT="0" distB="0" distL="114300" distR="114300" simplePos="0" relativeHeight="251684864" behindDoc="1" locked="0" layoutInCell="1" allowOverlap="1">
            <wp:simplePos x="0" y="0"/>
            <wp:positionH relativeFrom="column">
              <wp:posOffset>933450</wp:posOffset>
            </wp:positionH>
            <wp:positionV relativeFrom="paragraph">
              <wp:posOffset>197997</wp:posOffset>
            </wp:positionV>
            <wp:extent cx="553187" cy="330364"/>
            <wp:effectExtent l="19050" t="0" r="0" b="0"/>
            <wp:wrapTight wrapText="bothSides">
              <wp:wrapPolygon edited="0">
                <wp:start x="-744" y="0"/>
                <wp:lineTo x="-744" y="19929"/>
                <wp:lineTo x="21571" y="19929"/>
                <wp:lineTo x="21571" y="0"/>
                <wp:lineTo x="-744" y="0"/>
              </wp:wrapPolygon>
            </wp:wrapTight>
            <wp:docPr id="10" name="Picture 2" descr="C:\Documents and Settings\Marshall\Local Settings\Temporary Internet Files\Content.IE5\B2LWNOJ1\MP900384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shall\Local Settings\Temporary Internet Files\Content.IE5\B2LWNOJ1\MP900384796[1].jpg"/>
                    <pic:cNvPicPr>
                      <a:picLocks noChangeAspect="1" noChangeArrowheads="1"/>
                    </pic:cNvPicPr>
                  </pic:nvPicPr>
                  <pic:blipFill>
                    <a:blip r:embed="rId10" cstate="print"/>
                    <a:srcRect/>
                    <a:stretch>
                      <a:fillRect/>
                    </a:stretch>
                  </pic:blipFill>
                  <pic:spPr bwMode="auto">
                    <a:xfrm>
                      <a:off x="0" y="0"/>
                      <a:ext cx="553187" cy="330364"/>
                    </a:xfrm>
                    <a:prstGeom prst="rect">
                      <a:avLst/>
                    </a:prstGeom>
                    <a:noFill/>
                    <a:ln w="9525">
                      <a:noFill/>
                      <a:miter lim="800000"/>
                      <a:headEnd/>
                      <a:tailEnd/>
                    </a:ln>
                  </pic:spPr>
                </pic:pic>
              </a:graphicData>
            </a:graphic>
          </wp:anchor>
        </w:drawing>
      </w:r>
      <w:r>
        <w:t>Michigan Singers, celebrating Armed Forces Day.  A cash bar and complete dinner will start the evening festivities.  Initially, tickets will be distributed via various means to only active LMPOA members (limit 2 per household) at a special member-only price.  After March 15, any remaining tickets may be purchased by members or friends of LMPOA at the regular price.  Due to a limited number of tickets being available, members are urged to renew membership and order tickets now!</w:t>
      </w:r>
    </w:p>
    <w:p w:rsidR="00A24B53" w:rsidRDefault="00A24B53" w:rsidP="00A24B53">
      <w:pPr>
        <w:pStyle w:val="ListParagraph"/>
        <w:numPr>
          <w:ilvl w:val="1"/>
          <w:numId w:val="17"/>
        </w:numPr>
        <w:spacing w:after="200" w:line="276" w:lineRule="auto"/>
      </w:pPr>
      <w:r w:rsidRPr="004A2D69">
        <w:rPr>
          <w:b/>
          <w:color w:val="943634" w:themeColor="accent2" w:themeShade="BF"/>
        </w:rPr>
        <w:t>Fishing Derby</w:t>
      </w:r>
      <w:r>
        <w:t xml:space="preserve"> – Plans are underway to conduct a special Fishing Derby on the weekend </w:t>
      </w:r>
      <w:r>
        <w:rPr>
          <w:noProof/>
        </w:rPr>
        <w:drawing>
          <wp:anchor distT="0" distB="0" distL="114300" distR="114300" simplePos="0" relativeHeight="251683840" behindDoc="1" locked="0" layoutInCell="1" allowOverlap="1">
            <wp:simplePos x="0" y="0"/>
            <wp:positionH relativeFrom="column">
              <wp:posOffset>933450</wp:posOffset>
            </wp:positionH>
            <wp:positionV relativeFrom="paragraph">
              <wp:posOffset>198775</wp:posOffset>
            </wp:positionV>
            <wp:extent cx="468876" cy="271371"/>
            <wp:effectExtent l="19050" t="0" r="7374" b="0"/>
            <wp:wrapTight wrapText="bothSides">
              <wp:wrapPolygon edited="0">
                <wp:start x="7021" y="0"/>
                <wp:lineTo x="878" y="9098"/>
                <wp:lineTo x="-878" y="13647"/>
                <wp:lineTo x="878" y="18196"/>
                <wp:lineTo x="14919" y="18196"/>
                <wp:lineTo x="21940" y="7582"/>
                <wp:lineTo x="21940" y="6065"/>
                <wp:lineTo x="11409" y="0"/>
                <wp:lineTo x="7021" y="0"/>
              </wp:wrapPolygon>
            </wp:wrapTight>
            <wp:docPr id="7" name="Picture 1" descr="C:\Documents and Settings\Marshall\Local Settings\Temporary Internet Files\Content.IE5\768MG6LR\MC900354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Local Settings\Temporary Internet Files\Content.IE5\768MG6LR\MC900354899[1].wmf"/>
                    <pic:cNvPicPr>
                      <a:picLocks noChangeAspect="1" noChangeArrowheads="1"/>
                    </pic:cNvPicPr>
                  </pic:nvPicPr>
                  <pic:blipFill>
                    <a:blip r:embed="rId11" cstate="print"/>
                    <a:srcRect/>
                    <a:stretch>
                      <a:fillRect/>
                    </a:stretch>
                  </pic:blipFill>
                  <pic:spPr bwMode="auto">
                    <a:xfrm>
                      <a:off x="0" y="0"/>
                      <a:ext cx="468876" cy="271371"/>
                    </a:xfrm>
                    <a:prstGeom prst="rect">
                      <a:avLst/>
                    </a:prstGeom>
                    <a:noFill/>
                    <a:ln w="9525">
                      <a:noFill/>
                      <a:miter lim="800000"/>
                      <a:headEnd/>
                      <a:tailEnd/>
                    </a:ln>
                  </pic:spPr>
                </pic:pic>
              </a:graphicData>
            </a:graphic>
          </wp:anchor>
        </w:drawing>
      </w:r>
      <w:r>
        <w:t xml:space="preserve">of June 11-12.  Lynn </w:t>
      </w:r>
      <w:proofErr w:type="spellStart"/>
      <w:r>
        <w:t>Toma</w:t>
      </w:r>
      <w:proofErr w:type="spellEnd"/>
      <w:r>
        <w:t xml:space="preserve"> of the DNRE fisheries division is very supportive of the effort and promises to include it on the state calendar of events.  Informational material also will be distributed, if available.  Further, we were advised that here are no special state requirements for sponsors of such an event.  Board and membership involvement is now needed to carry out the fun day.            </w:t>
      </w:r>
      <w:r w:rsidRPr="00885EB9">
        <w:rPr>
          <w:noProof/>
        </w:rPr>
        <w:t xml:space="preserve"> </w:t>
      </w:r>
    </w:p>
    <w:p w:rsidR="00A24B53" w:rsidRPr="00F15D82" w:rsidRDefault="00A24B53" w:rsidP="00A24B53">
      <w:pPr>
        <w:pStyle w:val="ListParagraph"/>
        <w:numPr>
          <w:ilvl w:val="1"/>
          <w:numId w:val="17"/>
        </w:numPr>
        <w:spacing w:after="200" w:line="276" w:lineRule="auto"/>
        <w:rPr>
          <w:b/>
        </w:rPr>
      </w:pPr>
      <w:r w:rsidRPr="004A2D69">
        <w:rPr>
          <w:b/>
          <w:noProof/>
          <w:color w:val="943634" w:themeColor="accent2" w:themeShade="BF"/>
        </w:rPr>
        <w:drawing>
          <wp:anchor distT="0" distB="0" distL="114300" distR="114300" simplePos="0" relativeHeight="251685888" behindDoc="1" locked="0" layoutInCell="1" allowOverlap="1">
            <wp:simplePos x="0" y="0"/>
            <wp:positionH relativeFrom="column">
              <wp:posOffset>914400</wp:posOffset>
            </wp:positionH>
            <wp:positionV relativeFrom="paragraph">
              <wp:posOffset>198120</wp:posOffset>
            </wp:positionV>
            <wp:extent cx="492125" cy="335915"/>
            <wp:effectExtent l="0" t="0" r="3175" b="0"/>
            <wp:wrapTight wrapText="bothSides">
              <wp:wrapPolygon edited="0">
                <wp:start x="8361" y="0"/>
                <wp:lineTo x="1672" y="7350"/>
                <wp:lineTo x="1672" y="20824"/>
                <wp:lineTo x="10034" y="20824"/>
                <wp:lineTo x="15050" y="20824"/>
                <wp:lineTo x="15886" y="20824"/>
                <wp:lineTo x="16723" y="19599"/>
                <wp:lineTo x="21739" y="8575"/>
                <wp:lineTo x="21739" y="7350"/>
                <wp:lineTo x="15886" y="0"/>
                <wp:lineTo x="8361" y="0"/>
              </wp:wrapPolygon>
            </wp:wrapTight>
            <wp:docPr id="12" name="Picture 3" descr="C:\Documents and Settings\Marshall\Local Settings\Temporary Internet Files\Content.IE5\768MG6LR\MM9003652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shall\Local Settings\Temporary Internet Files\Content.IE5\768MG6LR\MM900365268[1].gif"/>
                    <pic:cNvPicPr>
                      <a:picLocks noChangeAspect="1" noChangeArrowheads="1" noCrop="1"/>
                    </pic:cNvPicPr>
                  </pic:nvPicPr>
                  <pic:blipFill>
                    <a:blip r:embed="rId12" cstate="print"/>
                    <a:srcRect/>
                    <a:stretch>
                      <a:fillRect/>
                    </a:stretch>
                  </pic:blipFill>
                  <pic:spPr bwMode="auto">
                    <a:xfrm>
                      <a:off x="0" y="0"/>
                      <a:ext cx="492125" cy="335915"/>
                    </a:xfrm>
                    <a:prstGeom prst="rect">
                      <a:avLst/>
                    </a:prstGeom>
                    <a:noFill/>
                    <a:ln w="9525">
                      <a:noFill/>
                      <a:miter lim="800000"/>
                      <a:headEnd/>
                      <a:tailEnd/>
                    </a:ln>
                  </pic:spPr>
                </pic:pic>
              </a:graphicData>
            </a:graphic>
          </wp:anchor>
        </w:drawing>
      </w:r>
      <w:r w:rsidRPr="004A2D69">
        <w:rPr>
          <w:b/>
          <w:color w:val="943634" w:themeColor="accent2" w:themeShade="BF"/>
        </w:rPr>
        <w:t>The Store</w:t>
      </w:r>
      <w:r w:rsidRPr="00220912">
        <w:rPr>
          <w:b/>
        </w:rPr>
        <w:t xml:space="preserve"> -</w:t>
      </w:r>
      <w:r>
        <w:rPr>
          <w:b/>
        </w:rPr>
        <w:t xml:space="preserve"> </w:t>
      </w:r>
      <w:r w:rsidRPr="00402108">
        <w:t>An</w:t>
      </w:r>
      <w:r>
        <w:t xml:space="preserve"> important element in this growth-year effort is the “Lake Margrethe Store.”  Your LMPOA membership card will be the key to great discounts on insignia items proudly showing commitment to the Lake Margrethe community.  North Country Corner in Grayling has agreed to be the central point for apparel items, as well as gifts.  A variety of merchandise will soon be available (some already in stock).  The LMPOA web site and the store will display items.  Stay tuned for more information.</w:t>
      </w:r>
    </w:p>
    <w:p w:rsidR="00A24B53" w:rsidRPr="00220912" w:rsidRDefault="00A24B53" w:rsidP="00A24B53">
      <w:pPr>
        <w:pStyle w:val="Heading2"/>
      </w:pPr>
      <w:r>
        <w:t>Every property owner will discover that membership in LMPOA has perks along with the importance of maintaining the vitality of our beautiful lake.</w:t>
      </w:r>
    </w:p>
    <w:p w:rsidR="00A24B53" w:rsidRDefault="00A24B53" w:rsidP="00A24B53">
      <w:pPr>
        <w:ind w:left="1080"/>
      </w:pPr>
    </w:p>
    <w:p w:rsidR="00A24B53" w:rsidRPr="0067317E" w:rsidRDefault="00A24B53" w:rsidP="00A24B53"/>
    <w:p w:rsidR="00530DD7" w:rsidRPr="008F4A78" w:rsidRDefault="00530DD7">
      <w:pPr>
        <w:rPr>
          <w:rFonts w:ascii="Arial" w:hAnsi="Arial" w:cs="Arial"/>
        </w:rPr>
      </w:pPr>
    </w:p>
    <w:sectPr w:rsidR="00530DD7" w:rsidRPr="008F4A78" w:rsidSect="002435AF">
      <w:headerReference w:type="default"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E5" w:rsidRDefault="002668E5" w:rsidP="00BF3E2E">
      <w:r>
        <w:separator/>
      </w:r>
    </w:p>
  </w:endnote>
  <w:endnote w:type="continuationSeparator" w:id="0">
    <w:p w:rsidR="002668E5" w:rsidRDefault="002668E5" w:rsidP="00BF3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27"/>
      <w:gridCol w:w="1073"/>
      <w:gridCol w:w="4828"/>
    </w:tblGrid>
    <w:tr w:rsidR="001D425E">
      <w:trPr>
        <w:trHeight w:val="151"/>
      </w:trPr>
      <w:tc>
        <w:tcPr>
          <w:tcW w:w="2250" w:type="pct"/>
          <w:tcBorders>
            <w:bottom w:val="single" w:sz="4" w:space="0" w:color="4F81BD" w:themeColor="accent1"/>
          </w:tcBorders>
        </w:tcPr>
        <w:p w:rsidR="001D425E" w:rsidRDefault="001D425E">
          <w:pPr>
            <w:pStyle w:val="Header"/>
            <w:rPr>
              <w:rFonts w:asciiTheme="majorHAnsi" w:eastAsiaTheme="majorEastAsia" w:hAnsiTheme="majorHAnsi" w:cstheme="majorBidi"/>
              <w:b/>
              <w:bCs/>
            </w:rPr>
          </w:pPr>
        </w:p>
      </w:tc>
      <w:tc>
        <w:tcPr>
          <w:tcW w:w="500" w:type="pct"/>
          <w:vMerge w:val="restart"/>
          <w:noWrap/>
          <w:vAlign w:val="center"/>
        </w:tcPr>
        <w:p w:rsidR="001D425E" w:rsidRDefault="001D425E">
          <w:pPr>
            <w:pStyle w:val="NoSpacing"/>
            <w:rPr>
              <w:rFonts w:asciiTheme="majorHAnsi" w:hAnsiTheme="majorHAnsi"/>
            </w:rPr>
          </w:pPr>
          <w:r>
            <w:rPr>
              <w:rFonts w:asciiTheme="majorHAnsi" w:hAnsiTheme="majorHAnsi"/>
              <w:b/>
            </w:rPr>
            <w:t xml:space="preserve">Page </w:t>
          </w:r>
          <w:fldSimple w:instr=" PAGE  \* MERGEFORMAT ">
            <w:r w:rsidR="00BC750B" w:rsidRPr="00BC750B">
              <w:rPr>
                <w:rFonts w:asciiTheme="majorHAnsi" w:hAnsiTheme="majorHAnsi"/>
                <w:b/>
                <w:noProof/>
              </w:rPr>
              <w:t>1</w:t>
            </w:r>
          </w:fldSimple>
        </w:p>
      </w:tc>
      <w:tc>
        <w:tcPr>
          <w:tcW w:w="2250" w:type="pct"/>
          <w:tcBorders>
            <w:bottom w:val="single" w:sz="4" w:space="0" w:color="4F81BD" w:themeColor="accent1"/>
          </w:tcBorders>
        </w:tcPr>
        <w:p w:rsidR="001D425E" w:rsidRDefault="001D425E">
          <w:pPr>
            <w:pStyle w:val="Header"/>
            <w:rPr>
              <w:rFonts w:asciiTheme="majorHAnsi" w:eastAsiaTheme="majorEastAsia" w:hAnsiTheme="majorHAnsi" w:cstheme="majorBidi"/>
              <w:b/>
              <w:bCs/>
            </w:rPr>
          </w:pPr>
        </w:p>
      </w:tc>
    </w:tr>
    <w:tr w:rsidR="001D425E">
      <w:trPr>
        <w:trHeight w:val="150"/>
      </w:trPr>
      <w:tc>
        <w:tcPr>
          <w:tcW w:w="2250" w:type="pct"/>
          <w:tcBorders>
            <w:top w:val="single" w:sz="4" w:space="0" w:color="4F81BD" w:themeColor="accent1"/>
          </w:tcBorders>
        </w:tcPr>
        <w:p w:rsidR="001D425E" w:rsidRDefault="001D425E">
          <w:pPr>
            <w:pStyle w:val="Header"/>
            <w:rPr>
              <w:rFonts w:asciiTheme="majorHAnsi" w:eastAsiaTheme="majorEastAsia" w:hAnsiTheme="majorHAnsi" w:cstheme="majorBidi"/>
              <w:b/>
              <w:bCs/>
            </w:rPr>
          </w:pPr>
        </w:p>
      </w:tc>
      <w:tc>
        <w:tcPr>
          <w:tcW w:w="500" w:type="pct"/>
          <w:vMerge/>
        </w:tcPr>
        <w:p w:rsidR="001D425E" w:rsidRDefault="001D425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D425E" w:rsidRDefault="001D425E">
          <w:pPr>
            <w:pStyle w:val="Header"/>
            <w:rPr>
              <w:rFonts w:asciiTheme="majorHAnsi" w:eastAsiaTheme="majorEastAsia" w:hAnsiTheme="majorHAnsi" w:cstheme="majorBidi"/>
              <w:b/>
              <w:bCs/>
            </w:rPr>
          </w:pPr>
        </w:p>
      </w:tc>
    </w:tr>
  </w:tbl>
  <w:p w:rsidR="001D425E" w:rsidRDefault="001D4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E5" w:rsidRDefault="002668E5" w:rsidP="00BF3E2E">
      <w:r>
        <w:separator/>
      </w:r>
    </w:p>
  </w:footnote>
  <w:footnote w:type="continuationSeparator" w:id="0">
    <w:p w:rsidR="002668E5" w:rsidRDefault="002668E5" w:rsidP="00BF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E" w:rsidRDefault="00BF3E2E">
    <w:pPr>
      <w:pStyle w:val="Header"/>
    </w:pPr>
    <w:r>
      <w:t xml:space="preserve">LMPOA </w:t>
    </w:r>
    <w:r w:rsidR="00625FFD">
      <w:t>Membership</w:t>
    </w:r>
    <w:r>
      <w:t xml:space="preserve"> Meeting Minutes </w:t>
    </w:r>
    <w:r w:rsidR="000F3E5C">
      <w:t>10-9-10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E6D"/>
    <w:multiLevelType w:val="hybridMultilevel"/>
    <w:tmpl w:val="77846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E1585"/>
    <w:multiLevelType w:val="hybridMultilevel"/>
    <w:tmpl w:val="627C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520F0"/>
    <w:multiLevelType w:val="hybridMultilevel"/>
    <w:tmpl w:val="78DE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2D4FE4"/>
    <w:multiLevelType w:val="hybridMultilevel"/>
    <w:tmpl w:val="2992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1316A"/>
    <w:multiLevelType w:val="hybridMultilevel"/>
    <w:tmpl w:val="F760D5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D866564"/>
    <w:multiLevelType w:val="hybridMultilevel"/>
    <w:tmpl w:val="FAB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54BA2"/>
    <w:multiLevelType w:val="hybridMultilevel"/>
    <w:tmpl w:val="89C4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4E5DF3"/>
    <w:multiLevelType w:val="hybridMultilevel"/>
    <w:tmpl w:val="FA6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464DD"/>
    <w:multiLevelType w:val="hybridMultilevel"/>
    <w:tmpl w:val="9370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C05A07"/>
    <w:multiLevelType w:val="hybridMultilevel"/>
    <w:tmpl w:val="DFE4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79495F"/>
    <w:multiLevelType w:val="hybridMultilevel"/>
    <w:tmpl w:val="2942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2025D1"/>
    <w:multiLevelType w:val="hybridMultilevel"/>
    <w:tmpl w:val="1EA29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2249BE"/>
    <w:multiLevelType w:val="hybridMultilevel"/>
    <w:tmpl w:val="604A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66275"/>
    <w:multiLevelType w:val="hybridMultilevel"/>
    <w:tmpl w:val="2CCC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49113F"/>
    <w:multiLevelType w:val="hybridMultilevel"/>
    <w:tmpl w:val="852C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9A3EB0"/>
    <w:multiLevelType w:val="hybridMultilevel"/>
    <w:tmpl w:val="2CD2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26B85"/>
    <w:multiLevelType w:val="hybridMultilevel"/>
    <w:tmpl w:val="4D9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4"/>
  </w:num>
  <w:num w:numId="5">
    <w:abstractNumId w:val="15"/>
  </w:num>
  <w:num w:numId="6">
    <w:abstractNumId w:val="6"/>
  </w:num>
  <w:num w:numId="7">
    <w:abstractNumId w:val="0"/>
  </w:num>
  <w:num w:numId="8">
    <w:abstractNumId w:val="7"/>
  </w:num>
  <w:num w:numId="9">
    <w:abstractNumId w:val="2"/>
  </w:num>
  <w:num w:numId="10">
    <w:abstractNumId w:val="9"/>
  </w:num>
  <w:num w:numId="11">
    <w:abstractNumId w:val="10"/>
  </w:num>
  <w:num w:numId="12">
    <w:abstractNumId w:val="11"/>
  </w:num>
  <w:num w:numId="13">
    <w:abstractNumId w:val="12"/>
  </w:num>
  <w:num w:numId="14">
    <w:abstractNumId w:val="1"/>
  </w:num>
  <w:num w:numId="15">
    <w:abstractNumId w:val="16"/>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D07E3"/>
    <w:rsid w:val="00086FB2"/>
    <w:rsid w:val="000B6749"/>
    <w:rsid w:val="000C4612"/>
    <w:rsid w:val="000F3E5C"/>
    <w:rsid w:val="00136AB8"/>
    <w:rsid w:val="001851A0"/>
    <w:rsid w:val="001A715A"/>
    <w:rsid w:val="001D425E"/>
    <w:rsid w:val="001E4BF7"/>
    <w:rsid w:val="001E64C4"/>
    <w:rsid w:val="001F43EE"/>
    <w:rsid w:val="00205AAD"/>
    <w:rsid w:val="002435AF"/>
    <w:rsid w:val="002668E5"/>
    <w:rsid w:val="00274F69"/>
    <w:rsid w:val="002A772E"/>
    <w:rsid w:val="0032364B"/>
    <w:rsid w:val="00333A2A"/>
    <w:rsid w:val="0034367B"/>
    <w:rsid w:val="00381F47"/>
    <w:rsid w:val="003C16D9"/>
    <w:rsid w:val="003F45D2"/>
    <w:rsid w:val="00464A8B"/>
    <w:rsid w:val="0047012E"/>
    <w:rsid w:val="004B61C8"/>
    <w:rsid w:val="004B7C40"/>
    <w:rsid w:val="004C2215"/>
    <w:rsid w:val="004E7B64"/>
    <w:rsid w:val="004F748A"/>
    <w:rsid w:val="00506E38"/>
    <w:rsid w:val="005251B5"/>
    <w:rsid w:val="00530DD7"/>
    <w:rsid w:val="00587756"/>
    <w:rsid w:val="005B433E"/>
    <w:rsid w:val="005B5AC9"/>
    <w:rsid w:val="005D4D93"/>
    <w:rsid w:val="00610073"/>
    <w:rsid w:val="00625FFD"/>
    <w:rsid w:val="0062694A"/>
    <w:rsid w:val="0066008F"/>
    <w:rsid w:val="006679A1"/>
    <w:rsid w:val="00700546"/>
    <w:rsid w:val="007871FF"/>
    <w:rsid w:val="00794E4B"/>
    <w:rsid w:val="007A3802"/>
    <w:rsid w:val="007A4EE3"/>
    <w:rsid w:val="007C0E79"/>
    <w:rsid w:val="007D27EA"/>
    <w:rsid w:val="00800EAB"/>
    <w:rsid w:val="00815AD7"/>
    <w:rsid w:val="00816B44"/>
    <w:rsid w:val="0083269D"/>
    <w:rsid w:val="00832EB8"/>
    <w:rsid w:val="0087606D"/>
    <w:rsid w:val="008A5DEB"/>
    <w:rsid w:val="008C3A9A"/>
    <w:rsid w:val="008F101E"/>
    <w:rsid w:val="008F482F"/>
    <w:rsid w:val="008F4A78"/>
    <w:rsid w:val="00901B4D"/>
    <w:rsid w:val="00953FF9"/>
    <w:rsid w:val="009B41F4"/>
    <w:rsid w:val="009C7A08"/>
    <w:rsid w:val="009E35EC"/>
    <w:rsid w:val="00A24B53"/>
    <w:rsid w:val="00A555F1"/>
    <w:rsid w:val="00AF03AE"/>
    <w:rsid w:val="00B11206"/>
    <w:rsid w:val="00B74B52"/>
    <w:rsid w:val="00BC750B"/>
    <w:rsid w:val="00BD2C0C"/>
    <w:rsid w:val="00BF3E2E"/>
    <w:rsid w:val="00BF645E"/>
    <w:rsid w:val="00C3296A"/>
    <w:rsid w:val="00C5326A"/>
    <w:rsid w:val="00C53A23"/>
    <w:rsid w:val="00C70E5C"/>
    <w:rsid w:val="00D326B0"/>
    <w:rsid w:val="00D71098"/>
    <w:rsid w:val="00D96A83"/>
    <w:rsid w:val="00DB2DED"/>
    <w:rsid w:val="00DB6122"/>
    <w:rsid w:val="00DD07E3"/>
    <w:rsid w:val="00E10B66"/>
    <w:rsid w:val="00E17B86"/>
    <w:rsid w:val="00E265A2"/>
    <w:rsid w:val="00E26F70"/>
    <w:rsid w:val="00E27FC7"/>
    <w:rsid w:val="00E37760"/>
    <w:rsid w:val="00E379FD"/>
    <w:rsid w:val="00E37C22"/>
    <w:rsid w:val="00E43FCD"/>
    <w:rsid w:val="00E5550B"/>
    <w:rsid w:val="00E67540"/>
    <w:rsid w:val="00E904EB"/>
    <w:rsid w:val="00EA1AEF"/>
    <w:rsid w:val="00EA59BE"/>
    <w:rsid w:val="00EA7002"/>
    <w:rsid w:val="00EA77D3"/>
    <w:rsid w:val="00EE5DBC"/>
    <w:rsid w:val="00EF5935"/>
    <w:rsid w:val="00F52FA6"/>
    <w:rsid w:val="00FB5485"/>
    <w:rsid w:val="00FC6DF2"/>
    <w:rsid w:val="00FC7CAE"/>
    <w:rsid w:val="00FD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E3"/>
    <w:rPr>
      <w:sz w:val="24"/>
      <w:szCs w:val="24"/>
    </w:rPr>
  </w:style>
  <w:style w:type="paragraph" w:styleId="Heading1">
    <w:name w:val="heading 1"/>
    <w:basedOn w:val="Normal"/>
    <w:next w:val="Normal"/>
    <w:link w:val="Heading1Char"/>
    <w:uiPriority w:val="9"/>
    <w:qFormat/>
    <w:rsid w:val="00A24B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B5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7E3"/>
    <w:pPr>
      <w:tabs>
        <w:tab w:val="center" w:pos="4320"/>
        <w:tab w:val="right" w:pos="8640"/>
      </w:tabs>
    </w:pPr>
  </w:style>
  <w:style w:type="paragraph" w:styleId="Title">
    <w:name w:val="Title"/>
    <w:basedOn w:val="Normal"/>
    <w:qFormat/>
    <w:rsid w:val="00DD07E3"/>
    <w:pPr>
      <w:jc w:val="center"/>
    </w:pPr>
    <w:rPr>
      <w:b/>
    </w:rPr>
  </w:style>
  <w:style w:type="table" w:styleId="TableGrid">
    <w:name w:val="Table Grid"/>
    <w:basedOn w:val="TableNormal"/>
    <w:rsid w:val="001F43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00546"/>
    <w:rPr>
      <w:rFonts w:ascii="Tahoma" w:hAnsi="Tahoma" w:cs="Tahoma"/>
      <w:sz w:val="16"/>
      <w:szCs w:val="16"/>
    </w:rPr>
  </w:style>
  <w:style w:type="character" w:customStyle="1" w:styleId="BalloonTextChar">
    <w:name w:val="Balloon Text Char"/>
    <w:basedOn w:val="DefaultParagraphFont"/>
    <w:link w:val="BalloonText"/>
    <w:rsid w:val="00700546"/>
    <w:rPr>
      <w:rFonts w:ascii="Tahoma" w:hAnsi="Tahoma" w:cs="Tahoma"/>
      <w:sz w:val="16"/>
      <w:szCs w:val="16"/>
    </w:rPr>
  </w:style>
  <w:style w:type="paragraph" w:styleId="Footer">
    <w:name w:val="footer"/>
    <w:basedOn w:val="Normal"/>
    <w:link w:val="FooterChar"/>
    <w:rsid w:val="00BF3E2E"/>
    <w:pPr>
      <w:tabs>
        <w:tab w:val="center" w:pos="4680"/>
        <w:tab w:val="right" w:pos="9360"/>
      </w:tabs>
    </w:pPr>
  </w:style>
  <w:style w:type="character" w:customStyle="1" w:styleId="FooterChar">
    <w:name w:val="Footer Char"/>
    <w:basedOn w:val="DefaultParagraphFont"/>
    <w:link w:val="Footer"/>
    <w:rsid w:val="00BF3E2E"/>
    <w:rPr>
      <w:sz w:val="24"/>
      <w:szCs w:val="24"/>
    </w:rPr>
  </w:style>
  <w:style w:type="character" w:customStyle="1" w:styleId="HeaderChar">
    <w:name w:val="Header Char"/>
    <w:basedOn w:val="DefaultParagraphFont"/>
    <w:link w:val="Header"/>
    <w:uiPriority w:val="99"/>
    <w:rsid w:val="00BF3E2E"/>
    <w:rPr>
      <w:sz w:val="24"/>
      <w:szCs w:val="24"/>
    </w:rPr>
  </w:style>
  <w:style w:type="paragraph" w:styleId="NoSpacing">
    <w:name w:val="No Spacing"/>
    <w:link w:val="NoSpacingChar"/>
    <w:uiPriority w:val="1"/>
    <w:qFormat/>
    <w:rsid w:val="001D425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D425E"/>
    <w:rPr>
      <w:rFonts w:asciiTheme="minorHAnsi" w:eastAsiaTheme="minorEastAsia" w:hAnsiTheme="minorHAnsi" w:cstheme="minorBidi"/>
      <w:sz w:val="22"/>
      <w:szCs w:val="22"/>
    </w:rPr>
  </w:style>
  <w:style w:type="paragraph" w:styleId="ListParagraph">
    <w:name w:val="List Paragraph"/>
    <w:basedOn w:val="Normal"/>
    <w:uiPriority w:val="34"/>
    <w:qFormat/>
    <w:rsid w:val="001E64C4"/>
    <w:pPr>
      <w:ind w:left="720"/>
      <w:contextualSpacing/>
    </w:pPr>
  </w:style>
  <w:style w:type="paragraph" w:styleId="NormalWeb">
    <w:name w:val="Normal (Web)"/>
    <w:basedOn w:val="Normal"/>
    <w:uiPriority w:val="99"/>
    <w:unhideWhenUsed/>
    <w:rsid w:val="000F3E5C"/>
    <w:pPr>
      <w:spacing w:before="100" w:beforeAutospacing="1" w:after="100" w:afterAutospacing="1"/>
    </w:pPr>
    <w:rPr>
      <w:rFonts w:ascii="Arial" w:hAnsi="Arial" w:cs="Arial"/>
      <w:color w:val="000000"/>
      <w:sz w:val="18"/>
      <w:szCs w:val="18"/>
    </w:rPr>
  </w:style>
  <w:style w:type="character" w:customStyle="1" w:styleId="Heading1Char">
    <w:name w:val="Heading 1 Char"/>
    <w:basedOn w:val="DefaultParagraphFont"/>
    <w:link w:val="Heading1"/>
    <w:uiPriority w:val="9"/>
    <w:rsid w:val="00A24B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B5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08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4133777756308246E-2"/>
          <c:y val="4.3051285256009694E-2"/>
          <c:w val="0.94586618365994957"/>
          <c:h val="0.89223680373286585"/>
        </c:manualLayout>
      </c:layout>
      <c:lineChart>
        <c:grouping val="standard"/>
        <c:ser>
          <c:idx val="0"/>
          <c:order val="0"/>
          <c:tx>
            <c:strRef>
              <c:f>Sheet1!$B$1</c:f>
              <c:strCache>
                <c:ptCount val="1"/>
                <c:pt idx="0">
                  <c:v>2009</c:v>
                </c:pt>
              </c:strCache>
            </c:strRef>
          </c:tx>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9.0400000000000009</c:v>
                </c:pt>
                <c:pt idx="1">
                  <c:v>8.26</c:v>
                </c:pt>
                <c:pt idx="2">
                  <c:v>8.65</c:v>
                </c:pt>
                <c:pt idx="3">
                  <c:v>7.87</c:v>
                </c:pt>
                <c:pt idx="4">
                  <c:v>-0.91</c:v>
                </c:pt>
                <c:pt idx="5">
                  <c:v>0.64000000000000012</c:v>
                </c:pt>
                <c:pt idx="6">
                  <c:v>-0.33000000000000007</c:v>
                </c:pt>
                <c:pt idx="7">
                  <c:v>1.42</c:v>
                </c:pt>
                <c:pt idx="8">
                  <c:v>-1.42</c:v>
                </c:pt>
                <c:pt idx="9">
                  <c:v>2.08</c:v>
                </c:pt>
                <c:pt idx="10">
                  <c:v>5.55</c:v>
                </c:pt>
                <c:pt idx="11">
                  <c:v>4.38</c:v>
                </c:pt>
              </c:numCache>
            </c:numRef>
          </c:val>
        </c:ser>
        <c:ser>
          <c:idx val="1"/>
          <c:order val="1"/>
          <c:tx>
            <c:strRef>
              <c:f>Sheet1!$C$1</c:f>
              <c:strCache>
                <c:ptCount val="1"/>
                <c:pt idx="0">
                  <c:v>2010</c:v>
                </c:pt>
              </c:strCache>
            </c:strRef>
          </c:tx>
          <c:spPr>
            <a:ln cap="sq">
              <a:prstDash val="dash"/>
            </a:ln>
          </c:spPr>
          <c:marker>
            <c:symbol val="none"/>
          </c:marker>
          <c:val>
            <c:numRef>
              <c:f>Sheet1!$C$2:$C$11</c:f>
              <c:numCache>
                <c:formatCode>General</c:formatCode>
                <c:ptCount val="10"/>
                <c:pt idx="0">
                  <c:v>3.22</c:v>
                </c:pt>
                <c:pt idx="1">
                  <c:v>2.8299999999999996</c:v>
                </c:pt>
                <c:pt idx="2">
                  <c:v>2.8299999999999996</c:v>
                </c:pt>
                <c:pt idx="3">
                  <c:v>7.4</c:v>
                </c:pt>
                <c:pt idx="4">
                  <c:v>0.64000000000000012</c:v>
                </c:pt>
                <c:pt idx="5">
                  <c:v>3.36</c:v>
                </c:pt>
                <c:pt idx="6">
                  <c:v>-0.14000000000000001</c:v>
                </c:pt>
                <c:pt idx="7">
                  <c:v>0.25</c:v>
                </c:pt>
                <c:pt idx="8">
                  <c:v>1.03</c:v>
                </c:pt>
                <c:pt idx="9">
                  <c:v>-0.53</c:v>
                </c:pt>
              </c:numCache>
            </c:numRef>
          </c:val>
        </c:ser>
        <c:marker val="1"/>
        <c:axId val="109030784"/>
        <c:axId val="131142784"/>
      </c:lineChart>
      <c:catAx>
        <c:axId val="109030784"/>
        <c:scaling>
          <c:orientation val="minMax"/>
        </c:scaling>
        <c:axPos val="b"/>
        <c:numFmt formatCode="General" sourceLinked="1"/>
        <c:tickLblPos val="nextTo"/>
        <c:crossAx val="131142784"/>
        <c:crosses val="autoZero"/>
        <c:auto val="1"/>
        <c:lblAlgn val="ctr"/>
        <c:lblOffset val="100"/>
      </c:catAx>
      <c:valAx>
        <c:axId val="131142784"/>
        <c:scaling>
          <c:orientation val="minMax"/>
        </c:scaling>
        <c:axPos val="l"/>
        <c:majorGridlines/>
        <c:numFmt formatCode="General" sourceLinked="1"/>
        <c:tickLblPos val="nextTo"/>
        <c:crossAx val="109030784"/>
        <c:crosses val="autoZero"/>
        <c:crossBetween val="between"/>
      </c:valAx>
      <c:spPr>
        <a:solidFill>
          <a:srgbClr val="4F81BD">
            <a:alpha val="16000"/>
          </a:srgbClr>
        </a:solidFill>
        <a:ln w="47625" cmpd="sng">
          <a:solidFill>
            <a:srgbClr val="1F497D">
              <a:lumMod val="75000"/>
              <a:alpha val="1000"/>
            </a:srgbClr>
          </a:solidFill>
        </a:ln>
      </c:spPr>
    </c:plotArea>
    <c:plotVisOnly val="1"/>
    <c:dispBlanksAs val="zero"/>
  </c:chart>
  <c:spPr>
    <a:ln w="25400" cmpd="sng">
      <a:solidFill>
        <a:srgbClr val="1F497D">
          <a:lumMod val="75000"/>
        </a:srgbClr>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0.4862</cdr:x>
      <cdr:y>0.1164</cdr:y>
    </cdr:from>
    <cdr:to>
      <cdr:x>0.65951</cdr:x>
      <cdr:y>0.40212</cdr:y>
    </cdr:to>
    <cdr:sp macro="" textlink="">
      <cdr:nvSpPr>
        <cdr:cNvPr id="2" name="Rounded Rectangular Callout 1"/>
        <cdr:cNvSpPr/>
      </cdr:nvSpPr>
      <cdr:spPr>
        <a:xfrm xmlns:a="http://schemas.openxmlformats.org/drawingml/2006/main">
          <a:off x="3019425" y="209550"/>
          <a:ext cx="1076325" cy="514350"/>
        </a:xfrm>
        <a:prstGeom xmlns:a="http://schemas.openxmlformats.org/drawingml/2006/main" prst="wedgeRoundRectCallout">
          <a:avLst>
            <a:gd name="adj1" fmla="val -38074"/>
            <a:gd name="adj2" fmla="val 103241"/>
            <a:gd name="adj3" fmla="val 1666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2010 Dashed </a:t>
          </a:r>
          <a:r>
            <a:rPr lang="en-US" baseline="0"/>
            <a:t> Line -------</a:t>
          </a: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4104-83BF-46B0-A81B-076F94E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LAKE MARGRETHE PROPERTY OWNERS ASSOCIATION</vt:lpstr>
    </vt:vector>
  </TitlesOfParts>
  <Company>All</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MARGRETHE PROPERTY OWNERS ASSOCIATION</dc:title>
  <dc:creator>Charlotte Bloomquist</dc:creator>
  <cp:lastModifiedBy>Marshall</cp:lastModifiedBy>
  <cp:revision>8</cp:revision>
  <cp:lastPrinted>2010-07-12T13:21:00Z</cp:lastPrinted>
  <dcterms:created xsi:type="dcterms:W3CDTF">2010-10-22T02:02:00Z</dcterms:created>
  <dcterms:modified xsi:type="dcterms:W3CDTF">2010-10-25T00:40:00Z</dcterms:modified>
</cp:coreProperties>
</file>